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92F" w:rsidRPr="006F1E0F" w:rsidRDefault="007C6193" w:rsidP="00B3392F">
      <w:pPr>
        <w:pStyle w:val="Subtitle"/>
        <w:rPr>
          <w:rFonts w:ascii="TH Niramit AS" w:hAnsi="TH Niramit AS" w:cs="TH Niramit AS"/>
          <w:b/>
          <w:bCs/>
          <w:sz w:val="40"/>
          <w:szCs w:val="40"/>
        </w:rPr>
      </w:pPr>
      <w:r w:rsidRPr="006F1E0F">
        <w:rPr>
          <w:rFonts w:ascii="TH Niramit AS" w:hAnsi="TH Niramit AS" w:cs="TH Niramit A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F40D7BF" wp14:editId="35A1949A">
                <wp:simplePos x="0" y="0"/>
                <wp:positionH relativeFrom="column">
                  <wp:posOffset>5000625</wp:posOffset>
                </wp:positionH>
                <wp:positionV relativeFrom="paragraph">
                  <wp:posOffset>-971550</wp:posOffset>
                </wp:positionV>
                <wp:extent cx="504825" cy="400050"/>
                <wp:effectExtent l="0" t="0" r="952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25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6193" w:rsidRDefault="007C619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F40D7B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93.75pt;margin-top:-76.5pt;width:39.75pt;height:31.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" fillcolor="white [3201]" stroked="f" strokeweight=".5pt">
                <v:textbox>
                  <w:txbxContent>
                    <w:p w:rsidR="007C6193" w:rsidRDefault="007C6193"/>
                  </w:txbxContent>
                </v:textbox>
              </v:shape>
            </w:pict>
          </mc:Fallback>
        </mc:AlternateContent>
      </w:r>
      <w:r w:rsidR="00B3392F" w:rsidRPr="006F1E0F">
        <w:rPr>
          <w:rFonts w:ascii="TH Niramit AS" w:hAnsi="TH Niramit AS" w:cs="TH Niramit AS"/>
          <w:b/>
          <w:bCs/>
          <w:sz w:val="40"/>
          <w:szCs w:val="40"/>
          <w:cs/>
        </w:rPr>
        <w:t>ตอนที่ ๔</w:t>
      </w:r>
      <w:r w:rsidR="00B3392F" w:rsidRPr="006F1E0F">
        <w:rPr>
          <w:rFonts w:ascii="TH Niramit AS" w:hAnsi="TH Niramit AS" w:cs="TH Niramit AS"/>
          <w:b/>
          <w:bCs/>
          <w:sz w:val="40"/>
          <w:szCs w:val="40"/>
        </w:rPr>
        <w:t xml:space="preserve"> </w:t>
      </w:r>
    </w:p>
    <w:p w:rsidR="00B3392F" w:rsidRPr="006F1E0F" w:rsidRDefault="00B3392F" w:rsidP="00B3392F">
      <w:pPr>
        <w:pStyle w:val="Subtitle"/>
        <w:rPr>
          <w:rFonts w:ascii="TH Niramit AS" w:hAnsi="TH Niramit AS" w:cs="TH Niramit AS"/>
          <w:b/>
          <w:bCs/>
          <w:sz w:val="40"/>
          <w:szCs w:val="40"/>
        </w:rPr>
      </w:pPr>
      <w:r w:rsidRPr="006F1E0F">
        <w:rPr>
          <w:rFonts w:ascii="TH Niramit AS" w:hAnsi="TH Niramit AS" w:cs="TH Niramit AS"/>
          <w:b/>
          <w:bCs/>
          <w:sz w:val="40"/>
          <w:szCs w:val="40"/>
          <w:cs/>
        </w:rPr>
        <w:t>ปรัชญาภควัทคีตา</w:t>
      </w:r>
    </w:p>
    <w:p w:rsidR="00B3392F" w:rsidRPr="003B0389" w:rsidRDefault="00B3392F" w:rsidP="00B3392F">
      <w:pPr>
        <w:pStyle w:val="NoSpacing"/>
        <w:spacing w:before="240"/>
        <w:jc w:val="thaiDistribute"/>
        <w:rPr>
          <w:rFonts w:ascii="TH Niramit AS" w:hAnsi="TH Niramit AS" w:cs="TH Niramit AS"/>
          <w:b/>
          <w:bCs/>
          <w:sz w:val="36"/>
          <w:szCs w:val="36"/>
        </w:rPr>
      </w:pPr>
      <w:r w:rsidRPr="003B0389">
        <w:rPr>
          <w:rFonts w:ascii="TH Niramit AS" w:hAnsi="TH Niramit AS" w:cs="TH Niramit AS"/>
          <w:b/>
          <w:bCs/>
          <w:sz w:val="36"/>
          <w:szCs w:val="36"/>
          <w:cs/>
        </w:rPr>
        <w:t>๑</w:t>
      </w:r>
      <w:r w:rsidR="006F1E0F" w:rsidRPr="003B0389">
        <w:rPr>
          <w:rFonts w:ascii="TH Niramit AS" w:hAnsi="TH Niramit AS" w:cs="TH Niramit AS"/>
          <w:b/>
          <w:bCs/>
          <w:sz w:val="36"/>
          <w:szCs w:val="36"/>
        </w:rPr>
        <w:t>.</w:t>
      </w:r>
      <w:r w:rsidRPr="003B0389">
        <w:rPr>
          <w:rFonts w:ascii="TH Niramit AS" w:hAnsi="TH Niramit AS" w:cs="TH Niramit AS"/>
          <w:b/>
          <w:bCs/>
          <w:sz w:val="36"/>
          <w:szCs w:val="36"/>
          <w:cs/>
        </w:rPr>
        <w:t xml:space="preserve"> ความรู้เบื้องต้นเกี่ยวกับภควัทคีตา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>ภควัทคีตา ตามรูปศัพท์ แปลว่า บทเพลงแห่งพระเจ้า  โดยตัวคัมภีร์ ถือเป็นงานวรรณกรรมชิ้นสำคัญชั้นยอดเรื่องหนึ่งของอินเดีย และของโลก ตัวเนื้อหาแม้จะเป็นเพียงส่วนหนึ่งของมหากาพย์มหาภารตะ แต่ถือเป็นส่วนหนึ่งต่างหาก และมีความสมบูรณ์อยู่ในตัวเอง ที่สำคัญชาวอินเดีย โดยเฉพาะผู้ที่นับถือศาสนาฮินดูต่างถือว่า ภควัทคีตานั้นเป็นคัมภีร์ศักดิ์สิทธิ์ ถึงกับมีการถือสืบ ๆ กันมาว่า ผู้ใดก็ตามที่ได้อ่านภควัทคีตาแม้เพียงโศลกเดียว ผู้นั้นก็จะสามารถขจัดบาปทั้งปวงให้หมดสิ้นไปได้</w:t>
      </w:r>
      <w:r w:rsidRPr="006F1E0F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1"/>
      </w:r>
      <w:r w:rsidRPr="006F1E0F">
        <w:rPr>
          <w:rFonts w:ascii="TH Niramit AS" w:hAnsi="TH Niramit AS" w:cs="TH Niramit AS"/>
          <w:sz w:val="34"/>
          <w:szCs w:val="34"/>
          <w:cs/>
        </w:rPr>
        <w:tab/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 xml:space="preserve">เหตุที่ได้นามว่า ภควัทคีตา หรือบทเพลงแห่งพระเจ้าก็สืบเนื่องจากเนื้อหาของคัมภีร์เกี่ยวข้องกับบทสนทนาระหว่างพระกฤษณะและท้าวอรชุนแห่งราชวงศ์ปานฑพ พระกฤษณะถือเป็นพระอิศวรอวตารลงมาเป็นพลขับรถศึกให้กับท้าวอรชุนขณะออกรบที่ทุ่งกุรุเกษตร 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  <w:cs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 xml:space="preserve">สงครามครั้งนี้ถือเป็นสงครามระหว่างสายเลือดเดียวกัน เป็นเหตุให้ท้าวอรชุนเกิดความรู้สึกสังเวชสลดใจ ห่อเหี่ยวใจ ไม่อยากสู้รบ พระกฤษณะจึงต้องยกเหตุผลขึ้นมาสนทนาเพื่อปรับแนวความคิดให้ท้าวอรชุนเกิดความหึกเหิมในการปฏิบัติหน้าที่ </w:t>
      </w:r>
      <w:r w:rsidRPr="006F1E0F">
        <w:rPr>
          <w:rFonts w:ascii="TH Niramit AS" w:hAnsi="TH Niramit AS" w:cs="TH Niramit AS"/>
          <w:sz w:val="34"/>
          <w:szCs w:val="34"/>
        </w:rPr>
        <w:t xml:space="preserve"> </w:t>
      </w:r>
      <w:r w:rsidRPr="006F1E0F">
        <w:rPr>
          <w:rFonts w:ascii="TH Niramit AS" w:hAnsi="TH Niramit AS" w:cs="TH Niramit AS"/>
          <w:sz w:val="34"/>
          <w:szCs w:val="34"/>
          <w:cs/>
        </w:rPr>
        <w:t>เนื้อหาแต่ละบทของภควัทคีตจึงแฝงด้วยปรัชญาธรรมที่ลึกซึ้ง เป็นไปเพื่อการขัดเกลาจิตวิญญาณ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  <w:cs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>เนื้อหาในอัธยายะแรก ๆ  แม้จะเป็นเรื่องของการโต้ตอบกันด้วยเรื่องส่วนตัว ระหว่างพระกฤษณะกับท้าวอรชุน แต่ด้วยลีลา และปรัชญาธรรมอันลึกซึ้งในภควัทคีตา จะทำเรามองเห็นว่า บทสนทนานั้นได้ค่อย ๆ ก้าวเข้าสู่อาณาจักรอันสูงส่งและมิใช่เป็นเรื่องส่วนตัวอีกต่อไป  หากแต่เป็นเรื่องหน้าที่ของบุคคลและพฤติกรรมของสังคม แล้วค่อย ๆ ขยับสูงขึ้นจนถึงเรื่องการประยุกต์หลักจริยธรรมในชีวิตมนุษย์ และท้ายที่สุดขึ้นสูงถึงเรื่องท่าทีทางด้านจิตใจซึ่งควรควบคุม และดำรงอยู่เหนือสิ่งอื่นใดทั้งหมด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lastRenderedPageBreak/>
        <w:tab/>
        <w:t>อนึ่ง ภควัทคีตา เป็นหนังสือขนาดเล็ก มีลักษณะเป็นคำร้อยกรอง หรือโศลก ซึ่งมีอยู่ทั้งหมด ๗๐๐ โศลก</w:t>
      </w:r>
      <w:r w:rsidRPr="006F1E0F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2"/>
      </w:r>
      <w:r w:rsidRPr="006F1E0F">
        <w:rPr>
          <w:rFonts w:ascii="TH Niramit AS" w:hAnsi="TH Niramit AS" w:cs="TH Niramit AS"/>
          <w:sz w:val="34"/>
          <w:szCs w:val="34"/>
          <w:vertAlign w:val="superscript"/>
        </w:rPr>
        <w:t xml:space="preserve"> </w:t>
      </w:r>
      <w:r w:rsidRPr="006F1E0F">
        <w:rPr>
          <w:rFonts w:ascii="TH Niramit AS" w:hAnsi="TH Niramit AS" w:cs="TH Niramit AS"/>
          <w:sz w:val="34"/>
          <w:szCs w:val="34"/>
          <w:cs/>
        </w:rPr>
        <w:t xml:space="preserve">อายุของคัมภีร์แม้จะยังไม่เป็นที่ลงรอยกัน แต่ก็คาดว่าน่าจะประพันธ์ขึ้นประมาณ ๗๔๓ ปี ก่อนพุทธศักราช หรือ ๒๐๐ ปี ก่อนคริสตศักราช ผู้ประพันธ์คือท่านกฤษณะไทฺวปายนวฺยาส 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>เนื้อหาของภควัทคีตา แบ่งออกเป็น ๑๘ อัธยายะ แต่ละอัธยายะประกอบด้วยโศลก ซึ่งพรรณนาเนื้อหามากน้อยแตกต่างกัน สรุปเป็นข้อศึกษาโดยสังเขปดังนี้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>อัธยายะที่ ๑ อรชุนวิษาทโยค ว่าด้วยเรื่องความท้อถอยของอรชุน มีอยู่ทั้ง ๔๗ โศลก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>อัธยายะที่ ๒ สางขยโยค ว่าด้วยเรื่องความรู้ มีอยู่ทั้งหมด ๗๒ โศลก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>อัธยายะที่ ๓ กรรมโยค ว่าด้วยหลักปฏิบัติ มีอยู่ทั้งหมด ๔๓ โศลก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>อัธยายะที่ ๔ ญาณกรรมสันยาสโยค ว่าด้วยหลักการจำแนกญาณ หรือความรู้ มีอยู่ทั้งหมด ๔๒ โศลก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>อัธยายะที่ ๕ กรรมสันยาสโยคะ ว่าด้วยหลักแห่งการสละกรรมและการประกอบกรรมคือการปฏิบัติ มีอยู่ทั้งหมด ๒๙ โศลก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>อัธยายะที่ ๖ ธฺยานโยค  ว่าด้วยหลักการเข้าฌาน มีอยู่ทั้งหมด ๔๘ โศลก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>อัธยายะที่ ๗ ญาณโยค ว่าด้วยหลักญาณ มีอยู่ทั้งหมด ๓๐ โศลก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>อัธยายะที่ ๘ อักษรพรหมโยค ว่าด้วยหลักพรหมผู้ไม่เสื่อมเสีย มีอยู่ทั้งหมด ๒๘ โศลก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>อัธยายะที่ ๙ ราชวิทยาราชคุหฺยโยค ว่าด้วยหลักเจ้าแห่งวิทยาและเจ้าแห่งความลึกลับ มีอยู่ทั้งหมด ๓๔ โศลก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>อัธยายะที่ ๑๐ วิภูติโยค ว่าด้วยหลักทิพยศักดิ์ มีอยู่ทั้งหมด ๔๒ โศลก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>อัธยายะที่ ๑๑ วิศรรูปทรรศนโยค ว่าด้วยหลักการเห็นธรรมกาย มีทั้งหมด ๕๕ โศลก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>อัธยายะที่ ๑๒ ภักติโยค ว่าด้วยหลักภักดี มีอยู่ทั้งหมด ๒๐ โศลก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>อัธยายะที่ ๑๓ เกษตรเกษตรชฺญวิภาคโยค ว่าด้วยหลักจำแนกร่างกายและผู้รู้ร่างกาย มีอยู่ทั้งหมด ๓๕ โศลก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lastRenderedPageBreak/>
        <w:tab/>
        <w:t>อัธยายะที่ ๑๔ คุณตรัยวิภาคโยค ว่าด้วยหลักจำแนกคุณสาม มีอยู่ทั้งหมด ๒๗ โศลก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</w:rPr>
        <w:tab/>
      </w:r>
      <w:r w:rsidRPr="006F1E0F">
        <w:rPr>
          <w:rFonts w:ascii="TH Niramit AS" w:hAnsi="TH Niramit AS" w:cs="TH Niramit AS"/>
          <w:sz w:val="34"/>
          <w:szCs w:val="34"/>
          <w:cs/>
        </w:rPr>
        <w:t>อัธยายะที่ ๑๕ ปุรุโษตตมโยค ว่าด้วยบุรุษผู้ประเสริฐ มีอยู่ทั้งหมด ๒๐ โศลก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>อัธยายะที่ ๑๖ ไทวาสุรสมบัทวิภาคโยค ว่าด้วยการจำแนกทิพสมบัติและอสุรสมบัติ มีอยู่ทั้งหมด ๒๔ โศลก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>อัธยายะที่ ๑๗ ศรัทธาตรัยวิภาคโยค ว่าด้วยการจำแนกศรัทธา ๓ ประการ มีอยู่ทั้งหมด ๒๘ โศลก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  <w:cs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>อัธยายะที่ ๑๘ โมกษสันยาสโยค ว่าด้วยการสละซึ่งเป็นปฏิปทาแห่งโมกษะ มีอยู่ทั้งหมด ๗๘ โศลก</w:t>
      </w:r>
    </w:p>
    <w:p w:rsidR="00B3392F" w:rsidRPr="003B0389" w:rsidRDefault="00B3392F" w:rsidP="00B3392F">
      <w:pPr>
        <w:pStyle w:val="NoSpacing"/>
        <w:tabs>
          <w:tab w:val="left" w:pos="1080"/>
        </w:tabs>
        <w:spacing w:before="240"/>
        <w:jc w:val="thaiDistribute"/>
        <w:rPr>
          <w:rFonts w:ascii="TH Niramit AS" w:hAnsi="TH Niramit AS" w:cs="TH Niramit AS"/>
          <w:b/>
          <w:bCs/>
          <w:sz w:val="36"/>
          <w:szCs w:val="36"/>
        </w:rPr>
      </w:pPr>
      <w:r w:rsidRPr="003B0389">
        <w:rPr>
          <w:rFonts w:ascii="TH Niramit AS" w:hAnsi="TH Niramit AS" w:cs="TH Niramit AS"/>
          <w:b/>
          <w:bCs/>
          <w:sz w:val="36"/>
          <w:szCs w:val="36"/>
          <w:cs/>
        </w:rPr>
        <w:t>๒. หลักอภิปรัชญา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</w:rPr>
        <w:tab/>
      </w:r>
      <w:r w:rsidRPr="006F1E0F">
        <w:rPr>
          <w:rFonts w:ascii="TH Niramit AS" w:hAnsi="TH Niramit AS" w:cs="TH Niramit AS"/>
          <w:sz w:val="34"/>
          <w:szCs w:val="34"/>
          <w:cs/>
        </w:rPr>
        <w:t xml:space="preserve">แนวความคิดทางอภิปรัชญาโดยทั่วไปเกี่ยวข้องกับความจริงสูงสุด เช่น ความจริงสูงสุดเกี่ยวกับโลก จักรวาล  ชีวิต จิต วิญญาณ พระผู้เป็นเจ้า ว่าสิ่งเหล่านั้นคืออะไร ดำรงอยู่ เป็นอยู่ และเป็นไปอย่างไร 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  <w:cs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>ภควัทคีตา มีส่วนเกี่ยวข้องกับปัญหาทางอภิปรัชญา เพราะเนื้อหาบางส่วนได้กล่าวถึงความจริงสูงสุดที่น่าสนใจไว้หลายประเด็น ขอนำมากล่าวโดยสังเขปพอเป็นแนวทางศึกษาดังต่อไปนี้</w:t>
      </w:r>
    </w:p>
    <w:p w:rsidR="00B3392F" w:rsidRPr="006F1E0F" w:rsidRDefault="00B3392F" w:rsidP="00B3392F">
      <w:pPr>
        <w:pStyle w:val="NoSpacing"/>
        <w:spacing w:before="240"/>
        <w:jc w:val="thaiDistribute"/>
        <w:rPr>
          <w:rFonts w:ascii="TH Niramit AS" w:hAnsi="TH Niramit AS" w:cs="TH Niramit AS"/>
          <w:b/>
          <w:bCs/>
          <w:sz w:val="34"/>
          <w:szCs w:val="34"/>
        </w:rPr>
      </w:pPr>
      <w:r w:rsidRPr="006F1E0F">
        <w:rPr>
          <w:rFonts w:ascii="TH Niramit AS" w:hAnsi="TH Niramit AS" w:cs="TH Niramit AS"/>
          <w:b/>
          <w:bCs/>
          <w:sz w:val="34"/>
          <w:szCs w:val="34"/>
        </w:rPr>
        <w:tab/>
      </w:r>
      <w:r w:rsidRPr="006F1E0F">
        <w:rPr>
          <w:rFonts w:ascii="TH Niramit AS" w:hAnsi="TH Niramit AS" w:cs="TH Niramit AS"/>
          <w:b/>
          <w:bCs/>
          <w:sz w:val="34"/>
          <w:szCs w:val="34"/>
          <w:cs/>
        </w:rPr>
        <w:t>ก. แนวความคิดเรื่อ</w:t>
      </w:r>
      <w:r w:rsidRPr="006F1E0F">
        <w:rPr>
          <w:rFonts w:ascii="TH Niramit AS" w:hAnsi="TH Niramit AS" w:cs="TH Niramit AS"/>
          <w:b/>
          <w:bCs/>
          <w:sz w:val="34"/>
          <w:szCs w:val="34"/>
          <w:cs/>
        </w:rPr>
        <w:softHyphen/>
        <w:t>งอาตมันและการเวียนว่ายตายเกิด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>แนวความคิดดังกล่าวนี้เด่นชัดมากในคัมภีร์ภควัทคีตา ดังจะเห็นได้จากอัธยายะที่ ๒ โศลกที่ ๑๒,๑๓ เริ่มต้นด้วยการสะท้อนให้เห็นความจริงของชีวิตว่า มีการเวียนว่ายตายเกิด ข้อความในโศลกมีดังนี้</w:t>
      </w:r>
    </w:p>
    <w:p w:rsidR="00B3392F" w:rsidRPr="006F1E0F" w:rsidRDefault="00B3392F" w:rsidP="00B3392F">
      <w:pPr>
        <w:pStyle w:val="NoSpacing"/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</w:r>
      <w:r w:rsidRPr="006F1E0F">
        <w:rPr>
          <w:rFonts w:ascii="TH Niramit AS" w:hAnsi="TH Niramit AS" w:cs="TH Niramit AS"/>
          <w:sz w:val="34"/>
          <w:szCs w:val="34"/>
          <w:cs/>
        </w:rPr>
        <w:tab/>
      </w:r>
      <w:r w:rsidRPr="006F1E0F">
        <w:rPr>
          <w:rFonts w:ascii="TH Niramit AS" w:hAnsi="TH Niramit AS" w:cs="TH Niramit AS"/>
          <w:sz w:val="34"/>
          <w:szCs w:val="34"/>
        </w:rPr>
        <w:t>“</w:t>
      </w:r>
      <w:r w:rsidRPr="006F1E0F">
        <w:rPr>
          <w:rFonts w:ascii="TH Niramit AS" w:hAnsi="TH Niramit AS" w:cs="TH Niramit AS"/>
          <w:sz w:val="34"/>
          <w:szCs w:val="34"/>
          <w:cs/>
        </w:rPr>
        <w:t xml:space="preserve">ไม่มีสมัยใดที่เราไม่ได้เป็นมาแล้ว </w:t>
      </w:r>
    </w:p>
    <w:p w:rsidR="00B3392F" w:rsidRPr="006F1E0F" w:rsidRDefault="00B3392F" w:rsidP="00B3392F">
      <w:pPr>
        <w:pStyle w:val="NoSpacing"/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</w:r>
      <w:r w:rsidRPr="006F1E0F">
        <w:rPr>
          <w:rFonts w:ascii="TH Niramit AS" w:hAnsi="TH Niramit AS" w:cs="TH Niramit AS"/>
          <w:sz w:val="34"/>
          <w:szCs w:val="34"/>
          <w:cs/>
        </w:rPr>
        <w:tab/>
        <w:t>แม้พระองค์ และกษัตริย์เหล่านี้ด้วย</w:t>
      </w:r>
    </w:p>
    <w:p w:rsidR="00B3392F" w:rsidRPr="006F1E0F" w:rsidRDefault="00B3392F" w:rsidP="00B3392F">
      <w:pPr>
        <w:pStyle w:val="NoSpacing"/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</w:r>
      <w:r w:rsidRPr="006F1E0F">
        <w:rPr>
          <w:rFonts w:ascii="TH Niramit AS" w:hAnsi="TH Niramit AS" w:cs="TH Niramit AS"/>
          <w:sz w:val="34"/>
          <w:szCs w:val="34"/>
          <w:cs/>
        </w:rPr>
        <w:tab/>
        <w:t>และแน่นอน จะเป็นไปไม่ได้</w:t>
      </w:r>
    </w:p>
    <w:p w:rsidR="00B3392F" w:rsidRPr="006F1E0F" w:rsidRDefault="00B3392F" w:rsidP="00B3392F">
      <w:pPr>
        <w:pStyle w:val="NoSpacing"/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</w:r>
      <w:r w:rsidRPr="006F1E0F">
        <w:rPr>
          <w:rFonts w:ascii="TH Niramit AS" w:hAnsi="TH Niramit AS" w:cs="TH Niramit AS"/>
          <w:sz w:val="34"/>
          <w:szCs w:val="34"/>
          <w:cs/>
        </w:rPr>
        <w:tab/>
        <w:t>ว่า เราทั้งปวงจักไม่เป็นไปในสมัยต่อไป //</w:t>
      </w:r>
      <w:r w:rsidRPr="006F1E0F">
        <w:rPr>
          <w:rFonts w:ascii="TH Niramit AS" w:hAnsi="TH Niramit AS" w:cs="TH Niramit AS"/>
          <w:sz w:val="34"/>
          <w:szCs w:val="34"/>
        </w:rPr>
        <w:t>”</w:t>
      </w:r>
      <w:r w:rsidRPr="006F1E0F">
        <w:rPr>
          <w:rFonts w:ascii="TH Niramit AS" w:hAnsi="TH Niramit AS" w:cs="TH Niramit AS"/>
          <w:sz w:val="34"/>
          <w:szCs w:val="34"/>
          <w:cs/>
        </w:rPr>
        <w:t xml:space="preserve"> (๑๒)</w:t>
      </w:r>
    </w:p>
    <w:p w:rsidR="00B3392F" w:rsidRPr="006F1E0F" w:rsidRDefault="00B3392F" w:rsidP="00B3392F">
      <w:pPr>
        <w:pStyle w:val="NoSpacing"/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</w:r>
      <w:r w:rsidRPr="006F1E0F">
        <w:rPr>
          <w:rFonts w:ascii="TH Niramit AS" w:hAnsi="TH Niramit AS" w:cs="TH Niramit AS"/>
          <w:sz w:val="34"/>
          <w:szCs w:val="34"/>
          <w:cs/>
        </w:rPr>
        <w:tab/>
      </w:r>
      <w:r w:rsidRPr="006F1E0F">
        <w:rPr>
          <w:rFonts w:ascii="TH Niramit AS" w:hAnsi="TH Niramit AS" w:cs="TH Niramit AS"/>
          <w:sz w:val="34"/>
          <w:szCs w:val="34"/>
        </w:rPr>
        <w:t>“</w:t>
      </w:r>
      <w:r w:rsidRPr="006F1E0F">
        <w:rPr>
          <w:rFonts w:ascii="TH Niramit AS" w:hAnsi="TH Niramit AS" w:cs="TH Niramit AS"/>
          <w:sz w:val="34"/>
          <w:szCs w:val="34"/>
          <w:cs/>
        </w:rPr>
        <w:t>ผู้อาศัยร่างกาย (ชีวาตมัน) มี</w:t>
      </w:r>
    </w:p>
    <w:p w:rsidR="00B3392F" w:rsidRPr="006F1E0F" w:rsidRDefault="00B3392F" w:rsidP="00B3392F">
      <w:pPr>
        <w:pStyle w:val="NoSpacing"/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</w:r>
      <w:r w:rsidRPr="006F1E0F">
        <w:rPr>
          <w:rFonts w:ascii="TH Niramit AS" w:hAnsi="TH Niramit AS" w:cs="TH Niramit AS"/>
          <w:sz w:val="34"/>
          <w:szCs w:val="34"/>
          <w:cs/>
        </w:rPr>
        <w:tab/>
        <w:t>ความเป็นเด็ก ความเป็นผู้ใหญ่</w:t>
      </w:r>
    </w:p>
    <w:p w:rsidR="00B3392F" w:rsidRPr="006F1E0F" w:rsidRDefault="00B3392F" w:rsidP="00B3392F">
      <w:pPr>
        <w:pStyle w:val="NoSpacing"/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</w:r>
      <w:r w:rsidRPr="006F1E0F">
        <w:rPr>
          <w:rFonts w:ascii="TH Niramit AS" w:hAnsi="TH Niramit AS" w:cs="TH Niramit AS"/>
          <w:sz w:val="34"/>
          <w:szCs w:val="34"/>
          <w:cs/>
        </w:rPr>
        <w:tab/>
        <w:t xml:space="preserve">และความเป็นผู้แก่อยู่ในร่างฉันใด </w:t>
      </w:r>
    </w:p>
    <w:p w:rsidR="00B3392F" w:rsidRPr="006F1E0F" w:rsidRDefault="00B3392F" w:rsidP="00B3392F">
      <w:pPr>
        <w:pStyle w:val="NoSpacing"/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lastRenderedPageBreak/>
        <w:tab/>
      </w:r>
      <w:r w:rsidRPr="006F1E0F">
        <w:rPr>
          <w:rFonts w:ascii="TH Niramit AS" w:hAnsi="TH Niramit AS" w:cs="TH Niramit AS"/>
          <w:sz w:val="34"/>
          <w:szCs w:val="34"/>
          <w:cs/>
        </w:rPr>
        <w:tab/>
        <w:t>การรับเอาร่างกายอื่นก็มีอยู่ฉันนั้น</w:t>
      </w:r>
    </w:p>
    <w:p w:rsidR="00B3392F" w:rsidRPr="006F1E0F" w:rsidRDefault="00B3392F" w:rsidP="00B3392F">
      <w:pPr>
        <w:pStyle w:val="NoSpacing"/>
        <w:jc w:val="thaiDistribute"/>
        <w:rPr>
          <w:rFonts w:ascii="TH Niramit AS" w:hAnsi="TH Niramit AS" w:cs="TH Niramit AS"/>
          <w:sz w:val="34"/>
          <w:szCs w:val="34"/>
          <w:cs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</w:r>
      <w:r w:rsidRPr="006F1E0F">
        <w:rPr>
          <w:rFonts w:ascii="TH Niramit AS" w:hAnsi="TH Niramit AS" w:cs="TH Niramit AS"/>
          <w:sz w:val="34"/>
          <w:szCs w:val="34"/>
          <w:cs/>
        </w:rPr>
        <w:tab/>
        <w:t>ธีรชนย่อมไม่หลงในเรื่องนี้ //</w:t>
      </w:r>
      <w:r w:rsidRPr="006F1E0F">
        <w:rPr>
          <w:rFonts w:ascii="TH Niramit AS" w:hAnsi="TH Niramit AS" w:cs="TH Niramit AS"/>
          <w:sz w:val="34"/>
          <w:szCs w:val="34"/>
        </w:rPr>
        <w:t>”</w:t>
      </w:r>
      <w:r w:rsidRPr="006F1E0F">
        <w:rPr>
          <w:rFonts w:ascii="TH Niramit AS" w:hAnsi="TH Niramit AS" w:cs="TH Niramit AS"/>
          <w:sz w:val="34"/>
          <w:szCs w:val="34"/>
          <w:cs/>
        </w:rPr>
        <w:t xml:space="preserve"> (๑๓)</w:t>
      </w:r>
      <w:r w:rsidRPr="006F1E0F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3"/>
      </w:r>
    </w:p>
    <w:p w:rsidR="00B3392F" w:rsidRPr="006F1E0F" w:rsidRDefault="00B3392F" w:rsidP="0002472C">
      <w:pPr>
        <w:pStyle w:val="NoSpacing"/>
        <w:tabs>
          <w:tab w:val="left" w:pos="1080"/>
        </w:tabs>
        <w:spacing w:before="240"/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>โศลกในอัธยายะต่อไป ได้สะท้อนให้เห็นแนวทางในการอธิบายถึงความมีอยู่ของชีวิตทั้งหลายว่า มีภาวะชนิดหนึ่งที่ถือเป็นแกนกลางของชีวิต ภควัทคีตาเรียกสิ่งนี้ว่า ศรีริณะ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>ศรีริณะ มีแผ่ขยายอยู่ทั่วจักรวาล ไม่มีความพินาศ ไม่มีใครสามารถทำให้พินาศไปได้</w:t>
      </w:r>
      <w:r w:rsidRPr="006F1E0F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4"/>
      </w:r>
      <w:r w:rsidRPr="006F1E0F">
        <w:rPr>
          <w:rFonts w:ascii="TH Niramit AS" w:hAnsi="TH Niramit AS" w:cs="TH Niramit AS"/>
          <w:sz w:val="34"/>
          <w:szCs w:val="34"/>
          <w:cs/>
        </w:rPr>
        <w:t xml:space="preserve"> เป็นสภาพเที่ยงแท้ อยู่เหนือการพิสูจน์ เข้าไปอาศัยอยู่ในร่างกายอันเป็นสิ่งที่มีที่สุด</w:t>
      </w:r>
      <w:r w:rsidRPr="006F1E0F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5"/>
      </w:r>
      <w:r w:rsidRPr="006F1E0F">
        <w:rPr>
          <w:rFonts w:ascii="TH Niramit AS" w:hAnsi="TH Niramit AS" w:cs="TH Niramit AS"/>
          <w:sz w:val="34"/>
          <w:szCs w:val="34"/>
          <w:cs/>
        </w:rPr>
        <w:t xml:space="preserve"> ไม่เคยเกิด ไม่เคยตาย จะไม่เป็นอีกเมื่อได้เป็นแล้ว เที่ยงในภายหน้า และเที่ยงมาแล้ว ย่อมฆ่าไม่ตายในเมื่อร่ายกายถูกฆ่า</w:t>
      </w:r>
      <w:r w:rsidRPr="006F1E0F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6"/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>จากคำอธิบายดังกล่าว ทำให้เห็นความจริงเกี่ยวกับชีวิตว่า ชีวิตนั้นประกอบด้วยส่วนประกอบ ๒ ส่วน คือส่วนที่เป็นร่างกาย ซึ่งมีลักษณะไม่เที่ยงแท้แน่นอน มีความเสื่อมสลายไปตามกาลเวลา อีกส่วนหนึ่ง คือส่วนที่เป็นจิต หรือวิญญาณ ซึ่งในภควัทคีตาเรียกว่าศรีริณะ ศรีริณะนี้มีลักษณะตรงกันข้ามกับร่างกาย คือเป็นอมตะ เข้ามาอยู่ในร่างกายเป็นชั่วครั้งชั่วคราว การตายในทัศนะของภควัทคีตาจึงเปรียบเสมือนกับการเปลี่ยนเสื้อผ้าใหม่ ดังข้อความในอัธยายที่ ๒ โศลกที่ ๒๒ ที่ว่า</w:t>
      </w:r>
    </w:p>
    <w:p w:rsidR="00B3392F" w:rsidRPr="006F1E0F" w:rsidRDefault="00B3392F" w:rsidP="0002472C">
      <w:pPr>
        <w:pStyle w:val="NoSpacing"/>
        <w:spacing w:before="240"/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 xml:space="preserve"> </w:t>
      </w:r>
      <w:r w:rsidRPr="006F1E0F">
        <w:rPr>
          <w:rFonts w:ascii="TH Niramit AS" w:hAnsi="TH Niramit AS" w:cs="TH Niramit AS"/>
          <w:sz w:val="34"/>
          <w:szCs w:val="34"/>
          <w:cs/>
        </w:rPr>
        <w:tab/>
      </w:r>
      <w:r w:rsidRPr="006F1E0F">
        <w:rPr>
          <w:rFonts w:ascii="TH Niramit AS" w:hAnsi="TH Niramit AS" w:cs="TH Niramit AS"/>
          <w:sz w:val="34"/>
          <w:szCs w:val="34"/>
          <w:cs/>
        </w:rPr>
        <w:tab/>
      </w:r>
      <w:r w:rsidRPr="006F1E0F">
        <w:rPr>
          <w:rFonts w:ascii="TH Niramit AS" w:hAnsi="TH Niramit AS" w:cs="TH Niramit AS"/>
          <w:sz w:val="34"/>
          <w:szCs w:val="34"/>
          <w:cs/>
        </w:rPr>
        <w:tab/>
      </w:r>
      <w:r w:rsidRPr="006F1E0F">
        <w:rPr>
          <w:rFonts w:ascii="TH Niramit AS" w:hAnsi="TH Niramit AS" w:cs="TH Niramit AS"/>
          <w:sz w:val="34"/>
          <w:szCs w:val="34"/>
        </w:rPr>
        <w:t>“</w:t>
      </w:r>
      <w:r w:rsidRPr="006F1E0F">
        <w:rPr>
          <w:rFonts w:ascii="TH Niramit AS" w:hAnsi="TH Niramit AS" w:cs="TH Niramit AS"/>
          <w:sz w:val="34"/>
          <w:szCs w:val="34"/>
          <w:cs/>
        </w:rPr>
        <w:t>เหมือนคนถอดเครื่องนุ่งห่มอันเก่าเสีย</w:t>
      </w:r>
    </w:p>
    <w:p w:rsidR="00B3392F" w:rsidRPr="006F1E0F" w:rsidRDefault="00B3392F" w:rsidP="00B3392F">
      <w:pPr>
        <w:pStyle w:val="NoSpacing"/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</w:r>
      <w:r w:rsidRPr="006F1E0F">
        <w:rPr>
          <w:rFonts w:ascii="TH Niramit AS" w:hAnsi="TH Niramit AS" w:cs="TH Niramit AS"/>
          <w:sz w:val="34"/>
          <w:szCs w:val="34"/>
          <w:cs/>
        </w:rPr>
        <w:tab/>
      </w:r>
      <w:r w:rsidRPr="006F1E0F">
        <w:rPr>
          <w:rFonts w:ascii="TH Niramit AS" w:hAnsi="TH Niramit AS" w:cs="TH Niramit AS"/>
          <w:sz w:val="34"/>
          <w:szCs w:val="34"/>
          <w:cs/>
        </w:rPr>
        <w:tab/>
        <w:t>สวมชุดอื่นซึ่งเป็นเครื่องนุ่งห่มใหม่ ฉันใด</w:t>
      </w:r>
    </w:p>
    <w:p w:rsidR="00B3392F" w:rsidRPr="006F1E0F" w:rsidRDefault="00B3392F" w:rsidP="00B3392F">
      <w:pPr>
        <w:pStyle w:val="NoSpacing"/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</w:r>
      <w:r w:rsidRPr="006F1E0F">
        <w:rPr>
          <w:rFonts w:ascii="TH Niramit AS" w:hAnsi="TH Niramit AS" w:cs="TH Niramit AS"/>
          <w:sz w:val="34"/>
          <w:szCs w:val="34"/>
          <w:cs/>
        </w:rPr>
        <w:tab/>
      </w:r>
      <w:r w:rsidRPr="006F1E0F">
        <w:rPr>
          <w:rFonts w:ascii="TH Niramit AS" w:hAnsi="TH Niramit AS" w:cs="TH Niramit AS"/>
          <w:sz w:val="34"/>
          <w:szCs w:val="34"/>
          <w:cs/>
        </w:rPr>
        <w:tab/>
        <w:t>ชีวาตมันที่อาศัยร่างกายก็ฉันนั้น</w:t>
      </w:r>
    </w:p>
    <w:p w:rsidR="00B3392F" w:rsidRPr="006F1E0F" w:rsidRDefault="00B3392F" w:rsidP="00B3392F">
      <w:pPr>
        <w:pStyle w:val="NoSpacing"/>
        <w:jc w:val="thaiDistribute"/>
        <w:rPr>
          <w:rFonts w:ascii="TH Niramit AS" w:hAnsi="TH Niramit AS" w:cs="TH Niramit AS"/>
          <w:sz w:val="34"/>
          <w:szCs w:val="34"/>
          <w:cs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</w:r>
      <w:r w:rsidRPr="006F1E0F">
        <w:rPr>
          <w:rFonts w:ascii="TH Niramit AS" w:hAnsi="TH Niramit AS" w:cs="TH Niramit AS"/>
          <w:sz w:val="34"/>
          <w:szCs w:val="34"/>
          <w:cs/>
        </w:rPr>
        <w:tab/>
      </w:r>
      <w:r w:rsidRPr="006F1E0F">
        <w:rPr>
          <w:rFonts w:ascii="TH Niramit AS" w:hAnsi="TH Niramit AS" w:cs="TH Niramit AS"/>
          <w:sz w:val="34"/>
          <w:szCs w:val="34"/>
          <w:cs/>
        </w:rPr>
        <w:tab/>
        <w:t>ทิ้งร่างเก่าเสียเข้าสู่ร่างอื่นอันเป็นร่างใหม่</w:t>
      </w:r>
      <w:r w:rsidRPr="006F1E0F">
        <w:rPr>
          <w:rFonts w:ascii="TH Niramit AS" w:hAnsi="TH Niramit AS" w:cs="TH Niramit AS"/>
          <w:sz w:val="34"/>
          <w:szCs w:val="34"/>
        </w:rPr>
        <w:t>//”</w:t>
      </w:r>
      <w:r w:rsidRPr="006F1E0F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7"/>
      </w:r>
    </w:p>
    <w:p w:rsidR="00B3392F" w:rsidRPr="006F1E0F" w:rsidRDefault="00B3392F" w:rsidP="0002472C">
      <w:pPr>
        <w:pStyle w:val="NoSpacing"/>
        <w:tabs>
          <w:tab w:val="left" w:pos="1080"/>
        </w:tabs>
        <w:spacing w:before="240"/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>จากตัวอย่างโศลกข้างต้นนี้ สะท้อนให้เห็นข้อเท็จจริงคู่กับการเวียนว่ายตายเกิดก็คือสิ่งที่เรียกว่า ศรีริณะ ร่างกายอาจดับสลายไปตามกาลเวลา ขณะที่ศรีริณะนี้ทำ</w:t>
      </w:r>
      <w:r w:rsidRPr="006F1E0F">
        <w:rPr>
          <w:rFonts w:ascii="TH Niramit AS" w:hAnsi="TH Niramit AS" w:cs="TH Niramit AS"/>
          <w:sz w:val="34"/>
          <w:szCs w:val="34"/>
          <w:cs/>
        </w:rPr>
        <w:lastRenderedPageBreak/>
        <w:t>หน้าที่เวียนว่ายตายเกิด ท่านจึงเปรียบการเวียนว่ายตายเกิดว่าเหมือนกับการเปลี่ยนเสื้อผ้า เสื้อผ้าเปรียบเสมือนส่วนที่เป็นร่างกาย ขณะที่ตัวตนของเราเปรียบเหมือนกับศรีริณะซึ่งยังคงอยู่ต่อไป</w:t>
      </w:r>
    </w:p>
    <w:p w:rsidR="00B3392F" w:rsidRPr="006F1E0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>จุดมุ่งหมายของการสอนเช่นนี้ เพื่อต้องการให้อรชุนเข้าถึงความจริงของชีวิต อย่างน้อยที่สุดก็ให้เข้าใจว่า ชีวิตมีการเวียนว่ายตายเกิด การเวียนว่ายตายเกิดเป็นสัจธรรมที่เที่ยงแท้ของชีวิต มีเกิดก็ต้องมีตาย และเมื่อมีตายก็ต้องมีการเกิดอยู่ร่ำไป จึงไม่ควรคร่ำครวญถึงเรื่องความตายที่อยู่ตรงหน้า</w:t>
      </w:r>
      <w:r w:rsidRPr="006F1E0F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8"/>
      </w:r>
      <w:r w:rsidRPr="006F1E0F">
        <w:rPr>
          <w:rFonts w:ascii="TH Niramit AS" w:hAnsi="TH Niramit AS" w:cs="TH Niramit AS"/>
          <w:sz w:val="34"/>
          <w:szCs w:val="34"/>
          <w:cs/>
        </w:rPr>
        <w:t xml:space="preserve">  สิ่งที่ควรตระหนักคือจะตายอย่างไรต่างหาก จะเลือกตายอย่างเสียเกียรติยศ หรือจะเลือกตายอย่างมีศักดิ์ศรี การทำหน้าที่ของตนในฐานะอย่างสมเกียรติต่อให้ถึงแก่ความตาย ย่อมนำมาซึ่งเกียรติยศ ทั้งประตูสวรรค์ก็จะเปิดรับบุคคลเช่นนี้</w:t>
      </w:r>
      <w:r w:rsidRPr="006F1E0F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9"/>
      </w:r>
      <w:r w:rsidRPr="006F1E0F">
        <w:rPr>
          <w:rFonts w:ascii="TH Niramit AS" w:hAnsi="TH Niramit AS" w:cs="TH Niramit AS"/>
          <w:sz w:val="34"/>
          <w:szCs w:val="34"/>
          <w:cs/>
        </w:rPr>
        <w:t xml:space="preserve">  ความตายไม่ใช่เรื่องเลวร้าย ทั้งสงครามก็ไม่ใช่เรื่องเลวร้าย หากสงครามนั้นมีความเป็นธรรม</w:t>
      </w:r>
      <w:r w:rsidRPr="006F1E0F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10"/>
      </w:r>
    </w:p>
    <w:p w:rsidR="00B3392F" w:rsidRDefault="00B3392F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6F1E0F">
        <w:rPr>
          <w:rFonts w:ascii="TH Niramit AS" w:hAnsi="TH Niramit AS" w:cs="TH Niramit AS"/>
          <w:sz w:val="34"/>
          <w:szCs w:val="34"/>
          <w:cs/>
        </w:rPr>
        <w:tab/>
        <w:t>เป็นที่น่าสังเกตว่า อภิปรัชญาของภควัทคีตาในเรื่องนี้ มีความสัมพันธ์กับหลัก จริยศาสตร์อย่างลึกซึ้ง กล่าวได้ว่า พระกฤษณะสอนหลักอภิปรัชญานี้แก่อรชุนมีจุดประสงค์อยู่ที่ผลทางจริยศาสตร์ เบื้องต้นคือให้เกิดความเข้าใจ และมีกำลังใจในการที่จะทำหน้าที่ของตนในฐานะเป็นกษัตริย์ คือการรบเพื่อปกป้อง รักษาความเป็นธรรม การตายในสนามรบเป็นการตายอย่างมีเกียรติ เพราะประตูสวรรค์เปิดรอรับอยู่ ถ้าแม้ไม่ตาย ได้รับชัยชนะในสงคราม ย่อมได้ครอบครองแผ่นดินและโลก</w:t>
      </w:r>
      <w:r w:rsidRPr="006F1E0F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11"/>
      </w:r>
      <w:r w:rsidRPr="006F1E0F">
        <w:rPr>
          <w:rFonts w:ascii="TH Niramit AS" w:hAnsi="TH Niramit AS" w:cs="TH Niramit AS"/>
          <w:sz w:val="34"/>
          <w:szCs w:val="34"/>
          <w:cs/>
        </w:rPr>
        <w:t xml:space="preserve"> ที่สำคัญเหนือสิ่งอื่นใด ความตายไม่ใช่สิ่งน่ากลัว เพราะแท้จริงแล้ว ตัวตนที่แท้จริงของเราหาได้ตายตามไปไม่ ที่ตายเป็นแค่เพียงเปลือกนอก การไม่ทำหน้าที่ต่างหากเป็นความเลวร้าย และเป็นความอดสู ผู้คนจะประณามหยามเหยียด</w:t>
      </w:r>
      <w:r w:rsidRPr="006F1E0F">
        <w:rPr>
          <w:rStyle w:val="FootnoteReference"/>
          <w:rFonts w:ascii="TH Niramit AS" w:hAnsi="TH Niramit AS" w:cs="TH Niramit AS"/>
          <w:sz w:val="34"/>
          <w:szCs w:val="34"/>
          <w:cs/>
        </w:rPr>
        <w:footnoteReference w:id="12"/>
      </w:r>
    </w:p>
    <w:p w:rsidR="003B0389" w:rsidRDefault="003B0389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</w:p>
    <w:p w:rsidR="003B0389" w:rsidRDefault="003B0389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</w:p>
    <w:p w:rsidR="003B0389" w:rsidRPr="006F1E0F" w:rsidRDefault="003B0389" w:rsidP="00B3392F">
      <w:pPr>
        <w:pStyle w:val="NoSpacing"/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</w:p>
    <w:p w:rsidR="00B3392F" w:rsidRPr="006F1E0F" w:rsidRDefault="00B3392F" w:rsidP="00B3392F">
      <w:pPr>
        <w:pStyle w:val="NoSpacing"/>
        <w:spacing w:before="240"/>
        <w:jc w:val="thaiDistribute"/>
        <w:rPr>
          <w:rFonts w:ascii="TH Niramit AS" w:hAnsi="TH Niramit AS" w:cs="TH Niramit AS"/>
          <w:b/>
          <w:bCs/>
          <w:sz w:val="34"/>
          <w:szCs w:val="34"/>
        </w:rPr>
      </w:pPr>
      <w:r w:rsidRPr="006F1E0F">
        <w:rPr>
          <w:rFonts w:ascii="TH Niramit AS" w:hAnsi="TH Niramit AS" w:cs="TH Niramit AS"/>
          <w:b/>
          <w:bCs/>
          <w:sz w:val="34"/>
          <w:szCs w:val="34"/>
          <w:cs/>
        </w:rPr>
        <w:lastRenderedPageBreak/>
        <w:tab/>
        <w:t>ข. แนวความคิดเรื่องประกฤติ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ประกฤติ ศัพท์นี้ ราชบัณฑิตยสถาน ได้ให้ความหมายไว้ว่า มูลเดิม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ที่เกิด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รากเหง้า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ความเป็นไปตามธรรมดา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ความเป็นไปตามปกติ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ลักษณะ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กฎ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เกณฑ์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แบบเดิม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13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vertAlign w:val="superscript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ภาษาสันสกฤต ใช้คำว่า ปรฺกฺฤติ ขณะที่ภาษาไทยใช้คำว่า ปกติ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ปรัชญาอินเดีย โดยเฉพาะสายอาสติกะกล่าวถึงแนวคิดเรื่องนี้กันอย่างหลากหลายในฐานะเป็นมูลการณะของโลกและสรรพสิ่ง ดังจะได้กล่าวถึงในปรัชญาอาสติกะ ๖ สำนักต่อไป เบื้องต้นจะพิจารณาแนวความคิดเรื่องนี้จากคัมภีร์ภควัทคีตาว่าใช้คำนี้ในความหมายใดบ้าง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แต่ก่อนที่จะได้พิจารณาในรายละเอียด เบื้องต้นขอคัดโศลกที่แสดงถึงประกฤติเพื่อเป็นข้อมูลประกอบก่อน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ประกฤติของอาตมา แบ่งออกเป็น ๘ อย่าง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คือ ดิน น้ำ ไฟ ลม อากาศ มนะ พุทธิ และอหังการ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14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ประกฤติ ๘ อย่างนี้ยังไม่ประเสริฐ (อปรา)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แต่ท่านจงรู้จักประกฤติของอาตมาอีกอย่างหนึ่ง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ซึ่งประเสริฐ (ปรา) เป็นเหตุแห่งชีพ (บุคคล)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แน่ะมหาพาหุ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!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ประกฤติอย่างหลังนี้ทรงโลกไว้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15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ท่านจงรู้ไว้เถิดว่า สัตว์ทั้งหลาย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ล้วนมีประกฤติ ๒ อย่างนี้เป็นบ่อเกิด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เพราะฉะนั้น อาตมาจึงเป็นทั้งแดนเกิด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และแดนดับของโลกทั้งหมด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16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02472C">
      <w:pPr>
        <w:tabs>
          <w:tab w:val="left" w:pos="1080"/>
        </w:tabs>
        <w:spacing w:before="240"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ในโศลกตัวอย่างที่ยกมานี้ มีถ้อยคำที่ต้องพิจารณาเป็นเบื้องต้น คือคำว่า อาตมา และประกฤติ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  <w:cs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lastRenderedPageBreak/>
        <w:tab/>
        <w:t xml:space="preserve">คำว่า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“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อาตมา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”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ในโศลกนี้ รวมทั้งอีกหลายโศลกที่ปรากฏอยู่ในคัมภีร์ภควัทคีตา เป็นคำสรรพนาม แทนองค์ภาวะสูงสุดคือ พรหมัน ซึ่งถือเป็นแหล่งกำเนิดของสรรพสิ่งในโลกและจักรวาลทั้งหมด ดังบทโศลกที่ว่า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อาตมาเป็นอุบัติการณ์ (เหตุเป็นแดนเกิด)ของสิ่งทั้งปวง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สิ่งทั้งปวงย่อมมีพฤติการณ์จากอาตมา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17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การที่พรหมันเป็นบ่อเกิดสรรพสิ่งได้ก็เพราะพรหมันนั้นมีคุณสมบัติ คุณสมบัตินี้เรียกว่า ประกฤติ ซึ่งประกฤตินี้ก็แบ่งออกเป็น ๒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ส่วน คือส่วนที่ประเสริฐ (ปรา) และส่วนที่ไม่ประเสริฐ (อปรา)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ส่วนที่ไม่ประเสริฐประกอบไปด้วยดิน น้ำ ไฟ ลม อากาศ มนะ พุทธิ และอหังการ ส่วนที่ประเสริฐได้แก่ ปรฺธาน หรือมูลเหตุของโลก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18"/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พิจารณาคำอธิบายข้างต้น ตัวประกฤติก็คือส่วนที่แยกออกมาจากพรหมัน ซึ่งในโศลกใช้สรรพนามเรียกขานว่า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“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อาตมา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”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เมื่อแยกมาแล้ว มีคุณสมบัติ ๘ ประการติดมาพร้อม คุณสมบัติ ๘ ประการนี้ถือว่าเป็นส่วนที่ไม่ประเสริฐ เหตุที่ไม่ประเสริฐส่วนหนึ่งอาจเป็นเพราะว่า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๑. ดิน น้ำ ลม ไฟ อากาศ ถือเป็นวัตถุ หรือสสาร ไม่มีเจตจำนงในตัวเอง มีสภาพหยาบ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 ๒. มนะ พุทธิ และอหังการ แม้จะเป็นส่วนที่เป็นนามธรรม ก็เป็นนามธรรมที่ไม่บริสุทธิ์ เพราะมีส่วนแห่งสาสวะเข้าไปปรุงแต่งทำให้เกิดการกระทำ ทั้งที่เป็นกรรมดี และกรรมชั่ว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ประกฤติในส่วนนี้จึงเป็นผู้กระทำกรรมทุกอย่าง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19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สอดคล้องกับที่ท่านกล่าวไว้ดังต่อไปนี้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แต่ไหนแต่ไรมาแล้ว ไม่มีใครเลย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ที่จะอยู่ได้แม่แต่ชั่วขณะโดยไม่กระทำอะไร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เพราะทุก ๆ คน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ย่อมถูกคุณอันเกิดจากประกฤติบังคับให้กระทำกรรม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20"/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lastRenderedPageBreak/>
        <w:tab/>
        <w:t>ขณะที่ประกฤติอีกส่วนหนึ่ง ซึ่งเรียกว่า ปรฺธานะ ไม่มีลักษณะดังกล่าวข้างต้น ประกฤติในส่วนนี้จึงเหมือนเป็นภาวะบริสุทธิ์ดั้งเดิมที่แยกมาจากพรหมัน แต่เมื่ออยู่รวมในร่างเดียวกันจึงมีแนวโน้มที่จะถูกชักนำให้สูญเสียภาวะเดิมไป ด้วยภาวะ ๓ ประการซึ่งเกิดจากประกฤติ ได้แก่ สัตวะ รชะ และตมะ สัตวะทำให้ติดเนื่องในความสุข รชะทำให้ติดเนื่องในกรรม ส่วนตมะก็เป็นตัวการห่อหุ้มญาณ ทำให้ติดเนื่องในความประมาท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21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 รวมทั้งหมดนี้เองที่ทำให้เกิดการเวียนว่ายตายเกิด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กล่าวโดยสรุป ประกฤติในปรัชญาภควัทคีตา ท่านมุ่งหมายเอาคุณสมบัติย่อยที่แยกมาจากพรหมัน และด้วยคุณสมบัติย่อยดังกล่าวนี้เอง ทำให้เกิดการสร้างสรรค์สรรพสิ่งทั้งหลายขึ้นมา ดังถ้อยคำที่ว่า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ประกฤติย่อมรังสฤษฎ์สกลจักรวาล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ด้วยความดูแลของอาตมา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เกานฺเตย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!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โลกย่อมเปลี่ยนแปลงไปได้ด้วยเหตุนี้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22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เฉพาะในส่วนที่อยู่ในมนุษย์ ประกฤติจะถูกแยกออกอีกเป็น ๒ ลักษณะ คือลักษณะที่บริสุทธิ์ กับที่ไม่บริสุทธิ์ ส่วนแรกคือลักษณะดั้งเดิมที่เป็นคุณสมบัติของ พรหมันแท้ ๆ ซึ่งบางครั้งก็เรียกว่า ปรมาตมา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23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 ส่วนหลังนั้น คือส่วนที่ประกอบด้วยคุณสมบัติ ๘ ประการดังกล่าวแล้วข้างต้น ซึ่งเมื่อรวมกันแล้วก็จะกลายเป็นอัตภาพร่างกาย เรียกว่า ปุรุษะ และถือเป็นส่วนที่จะมาทำหน้าที่เสวยผลของกรรม ดังที่ท่านกล่าวไว้ว่า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ประกฤติจัดเป็นเหตุในการยะ กรณะ และกัตตุภาพ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บุรุษจุดเป็นเหตุในการเสวยสุขและทุกข์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//”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24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 </w:t>
      </w:r>
    </w:p>
    <w:p w:rsidR="00B3392F" w:rsidRPr="003B0389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</w:pPr>
      <w:r w:rsidRPr="003B0389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๓. หลักโยคะ</w:t>
      </w:r>
      <w:r w:rsidRPr="003B0389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ภควัทคีตา เป็นปรัชญาที่ประสานหลักกรรม ความภักดี และความรู้เข้าด้วยกัน ตามทัศนะแห่งภควัทคีตา มนุษย์เป็นสิ่งมีชีวิตที่ประกอบด้วยสติปัญญา เจตจำนง และอารมณ์ ในการดำเนินชีวิต มนุษย์ใช้ความคิด มีความปรารถนา และมีความรู้สึกต่ออารมณ์ต่าง ๆ ที่มากระทบ สติปัญญาทำให้เกิดปรัชญาแห่งความรู้ เจตจำนงทำให้เกิด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lastRenderedPageBreak/>
        <w:t>ปรัชญาแห่งการกระทำ และอารมณ์ทำให้เกิดปรัชญาแห่งความภักดี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25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 ซึ่งทั้งสติปัญญา เจตจำนง และอารมณ์ ล้วนแต่เป็นคุณสมบัติของจิต หรืออาการของจิตเท่านั้น และทั้งสามประการนี้ถือว่าเป็นเครื่องมือสำหรับการเข้าถึงจุดมุ่งหมายสูงสุดคือโมกษะ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ในภควัทคีตากล่าวถึงหลักการทั้ง ๓ ประการนี้อย่างไร จะได้กล่าวในรายละเอียดต่อไป </w:t>
      </w:r>
    </w:p>
    <w:p w:rsidR="00B3392F" w:rsidRPr="006F1E0F" w:rsidRDefault="00B3392F" w:rsidP="0002472C">
      <w:pPr>
        <w:tabs>
          <w:tab w:val="left" w:pos="1080"/>
        </w:tabs>
        <w:spacing w:before="240"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b/>
          <w:bCs/>
          <w:color w:val="000000"/>
          <w:sz w:val="34"/>
          <w:szCs w:val="34"/>
          <w:cs/>
        </w:rPr>
        <w:t>๑. กรรมโยคะ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  <w:cs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กรรมโยคะ แปลตามศัพท์ว่า หลักปฏิบัติ ภควัทคีตา แม้จะให้ความสำคัญที่หลักญาณโยคะ หรือหลักรู้ แต่หลักปฏิบัติก็ถือว่าเป็นหลักสำคัญที่ไม่สามารถทิ้งได้ ทั้งยังอิงอาศัย หรือช่วยส่งเสริมกันและกัน ดังนัยที่ท่านแสดงไว้ว่า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02472C">
      <w:pPr>
        <w:spacing w:before="240"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เพราะเหตุไม่ปรารภปฏิปทาตามหลักปฏิบัติ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บุรุษจึงไม่ได้เนกขัมมะอันเป็นแดนสิ้นกรรม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และเพียงเหตุละการกระทำอย่างเดียวเท่านั้น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ก็ยังไม่ทำให้บรรลุผลสำเร็จได้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26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ผู้ใดเคร่งอยู่แต่การบังคับกรรเมนทรีย์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ส่วนใจนั้นเป็นผู้เขลา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กล่าวได้ว่า เป็นผู้ประพฤติลวงปัญญา (ตนเอง)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27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อนชุน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!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ส่วนผู้ใดข่มญาณเณนทรีย์ด้วยใจ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  <w:cs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ปรารภหลักปฏิบัติด้วยกรรเมนทรีย์โดยไม่ประสงค์ผล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ผู้นั้นจัดเป็นชั้นพิเศษ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28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02472C">
      <w:pPr>
        <w:tabs>
          <w:tab w:val="left" w:pos="1080"/>
        </w:tabs>
        <w:spacing w:before="240"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หากพิจารณาหลักปรัชญาในภควัทคีตาโดยละเอียด จะเห็นว่า ภควัทคีตาได้พูดถึงหลักกรรมไว้ ๒ ระดับ กล่าวคือ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lastRenderedPageBreak/>
        <w:tab/>
        <w:t>ระดับแรกนั้นเป็นระดับมหภาค คือสกลจักรวาลทั้งสิ้น ในระดับนี้ จักรวาล ตลอดสรรพสิ่งในจักรวาลเกิดขึ้นจากกรรม คือการขับเคลื่อนจากองค์ปฐมภาวะได้แก่พรหมัน ท่านจึงกล่าวว่า กรรมเกิดจากพรหม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29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 ถ้าองค์พรหมันไม่กระทำอะไรเสียเลย โลกนี้ก็จะพึงเสื่อมเสีย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30"/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ระดับต่อมาคือระดับจุลภาค เพ่งถึงพฤติกรรมของปัจเจกบุคคลแต่ละคน ในระดับนี้ท่านก็ระบุว่า ทุกคนนั้นถูกขับเคลื่อนด้วยกรรม ไม่มีใครเลยที่สามารถดำรงอยู่โดยปราศจากการกระทำ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31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 โดยกระทั่งที่สุด ร่างกายของเรา หากปราศจากการกระทำ ย่อมไม่สามารถเคลื่อนไหวได้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32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 ภควัทคีตาจึงส่งเสริมหลักกรรม เพราะกรรมนั้นเป็นเครื่องผูกพันของโลก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33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 ที่สำคัญ เพราะการกระทำ จึงทำให้เราบรรลุถึงเป้าหมาย ดังนัยที่ท่านกล่าวไว้ว่า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02472C">
      <w:pPr>
        <w:spacing w:before="240"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ด้วยว่าบุรพชน มีท้าวชนกเป็นอาทิ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ได้รับความสำเร็จเพราะกรรมอย่างเดียว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เมื่อท่าน (อรชุน) เล็งเห็นการสงเคราะห์ประชาโลกแล้ว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ควรกระทำกรรมนั้นเถิด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34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02472C">
      <w:pPr>
        <w:tabs>
          <w:tab w:val="left" w:pos="1080"/>
        </w:tabs>
        <w:spacing w:before="240"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อนึ่ง กรรมระดับปัจเจกดังกล่าวนี้ ถือว่าเป็นกรรมที่ถูกผลักดันมาจากคุณสมบัติของประกฤติ ๓ ประการ ได้แก่ สัตวะ รชะ และตมะ จากคุณสมบัติเหล่านี้เอง ทำให้เกิดความแตกต่างระหว่างผลกรรม กล่าวคือ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กรรมใด อันผู้ไม่ประสงค์ผล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ทำแล้วโดยปราศจากความติดข้องทุกเมื่อ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และโดยไม่มีความยินดียินร้าย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กรรมนั้นจัดเป็นการกระทำอันประกอบด้วยสัตวะ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35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lastRenderedPageBreak/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ส่วนกรรมใด อันผู้ปรารถนากามและผู้มีอหังการ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ทำด้วยความพยายามมาก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กรรมนั้น เรียกว่าเป็นการกระทำอันประกอบด้วยรชะ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36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กรรมใดทำด้วยโมหะโดยไม่คิดถึงความผันแปรภายหน้า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ความเสียหาย ความให้ร้ายแก่กัน และความสามารถ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กรรมนั้นเรียกว่าเป็นการกระทำอันประกอบด้วยตมะ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37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046CA1">
      <w:pPr>
        <w:tabs>
          <w:tab w:val="left" w:pos="1080"/>
        </w:tabs>
        <w:spacing w:before="240"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จากผลของกรรมที่เกิดจากคุณสมบัติแตกต่างกันนี้เอง ทำให้เราได้พบกรรมอีกลักษณะหนึ่ง กรรมลักษณะดังกล่าวนี้ แม้จะถูกผลักดันด้วยคุณอันเกิดจากประกฤติ แต่ก็เป็นกรรมที่ผู้กระทำ กระทำโดยไม่ยึดติดในกรรม ซึ่งกรรมชนิดนี้จะเป็นเหตุเป็นปัจจัยพัฒนาให้ผู้กระทำนั้นเข้าถึงปรมาตมัน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38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เป็นการกระทำที่ทำไปโดยสำนึกว่าตนเป็นเพียงเครื่องมือหรืออุปกรณ์ของพระเจ้า การกระทำด้วยความรู้สึกเช่นนี้ ทำจะทำผู้กระทำไม่แปดเปื้อนด้วยบาปมลทิน </w:t>
      </w:r>
    </w:p>
    <w:p w:rsidR="00B3392F" w:rsidRPr="006F1E0F" w:rsidRDefault="00B3392F" w:rsidP="0002472C">
      <w:pPr>
        <w:spacing w:before="240" w:after="0" w:line="270" w:lineRule="atLeast"/>
        <w:jc w:val="thaiDistribute"/>
        <w:rPr>
          <w:rFonts w:ascii="TH Niramit AS" w:eastAsia="Times New Roman" w:hAnsi="TH Niramit AS" w:cs="TH Niramit AS"/>
          <w:b/>
          <w:bCs/>
          <w:color w:val="000000"/>
          <w:sz w:val="34"/>
          <w:szCs w:val="34"/>
          <w:cs/>
        </w:rPr>
      </w:pPr>
      <w:r w:rsidRPr="006F1E0F">
        <w:rPr>
          <w:rFonts w:ascii="TH Niramit AS" w:eastAsia="Times New Roman" w:hAnsi="TH Niramit AS" w:cs="TH Niramit AS"/>
          <w:b/>
          <w:bCs/>
          <w:color w:val="000000"/>
          <w:sz w:val="34"/>
          <w:szCs w:val="34"/>
          <w:cs/>
        </w:rPr>
        <w:tab/>
        <w:t>๒. ญานโยคะ</w:t>
      </w:r>
      <w:r w:rsidRPr="006F1E0F">
        <w:rPr>
          <w:rFonts w:ascii="TH Niramit AS" w:eastAsia="Times New Roman" w:hAnsi="TH Niramit AS" w:cs="TH Niramit AS"/>
          <w:b/>
          <w:bCs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ญาณโยค หมายถึง หลักญาณ หรือหลักแห่งความรู้ สันสกฤตใช้คำว่า ชฺญานโยค ภควัทคีตายกย่องความรู้ว่าเป็นหัวใจสำคัญ ดังปรากฏข้อความยืนยันว่า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“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กรรมทั้งหลายแหล่ย่อมสมบูรณ์ในหลักรู้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”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39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โดยท่านให้เหตุผลว่า เมื่อทราบหลักรู้แล้ว จะไม่ทำให้งมงาย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40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 ที่สำคัญยิ่งกว่านั้น ภควัทคีตายกย่องหลักรู้ถึงขนาดว่า แม้มนุษย์จะทำบาปหนักที่สุด มนุษย์ก็จักสามารถข้ามมหาสมุทรแห่งบาปนั้นด้วยเรือคือหลักรู้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41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 หลักรู้จะทำหน้าที่เผาผลาญกรรมทั้งปวงให้เป็นเถ้าได้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42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เพื่อให้เห็นภาพความสำคัญของหลักญาณโยคะมากยิ่งขึ้น ขอให้พิจารณาบทโศลกตัวอย่างต่อไปนี้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02472C">
      <w:pPr>
        <w:spacing w:before="240"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lastRenderedPageBreak/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ไม่ต้องสงสัยเลย ในโลกนี้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ไม่มีสิ่งอะไรบริสุทธิ์เสมอด้วยญาณ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ผู้สำเร็จสมาธิย่อมประสบญาณนั้นด้วยตนเอง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ในอาตมันโดยกาลอันสมควร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43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ผู้ไม่มีญาณ ไม่ถือหลักศรัทธา มีจิตสงสัย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เขาจะเสื่อมเสีย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โลกนี้และโลกหน้าย่อมไม่มีแก่เขา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เขาผู้มีจิตสงสัย จะไม่ได้รับความสุขเลย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44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ธนญชัย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!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ผู้ที่สลัดกรรมด้วยโยคะ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ผู้ที่ตัดความสงสัยด้วยญาณ และผู้ดำรงอยู่ในอาตมัน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กรรมทั้งหลายย่อมไม่เกาะเกี่ยวได้เลย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45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เพราะฉะนั้น ท่านจงบำเพ็ญโยคะ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ตัดความสงสัยประจำจิตที่เกิดจากอัญญาณนี้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ด้วยดาบคือญาณของตน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จงตื่น ลุกขึ้นเถิด ภารตะ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!//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46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before="240" w:after="0" w:line="270" w:lineRule="atLeast"/>
        <w:jc w:val="thaiDistribute"/>
        <w:rPr>
          <w:rFonts w:ascii="TH Niramit AS" w:eastAsia="Times New Roman" w:hAnsi="TH Niramit AS" w:cs="TH Niramit AS"/>
          <w:b/>
          <w:bCs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b/>
          <w:bCs/>
          <w:color w:val="000000"/>
          <w:sz w:val="34"/>
          <w:szCs w:val="34"/>
          <w:cs/>
        </w:rPr>
        <w:tab/>
        <w:t>๓. ภักติโยคะ</w:t>
      </w:r>
      <w:r w:rsidRPr="006F1E0F">
        <w:rPr>
          <w:rFonts w:ascii="TH Niramit AS" w:eastAsia="Times New Roman" w:hAnsi="TH Niramit AS" w:cs="TH Niramit AS"/>
          <w:b/>
          <w:bCs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ภักติโยคะ แปลตามตัวว่า การประกอบด้วยความภักดี ความภักดีตามนัยแห่งภควัทคีตานั้น หมายถึงการให้บริการแก่พระเป็นเจ้าโดยปราศจากการหวังผลตอบแทน กระทำไปโดยความจงรักภักดีต่อพระองค์ด้วยความบริสุทธิ์ใจ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47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พระเป็นเจ้าจะเป็นผู้ดึงผู้ที่จงรักภักดีต่อพระองค์ขึ้นมาจากทะเลคือสังสารวัฏ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48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 ความจงรักภักดีต่อพระเป็นเจ้า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lastRenderedPageBreak/>
        <w:t>จึงเป็นความภักดีสูงสุด ความภักดีเช่นนั้นจะทำให้เขาได้รับการช่วยเหลือให้หลุดพ้นจากความทุกข์ทั้งปวง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49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มีโศลกหลายบทที่แสดงให้เห็นอานิสงค์ และความสำคัญของความภักดี คัดมาเป็นตัวอย่างประกอบการพิจารณา ดังนี้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  <w:cs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ผู้ใด กระทำความภักดีในอาตมาเป็นอย่างยิ่ง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จักแสดงเรื่องอันลึกลับประเสริฐแก่ผู้ภักดีในอาตมา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ผู้นั้น จักบรรลุอาตมาแท้เทียว โดยไม่ต้องสงสัย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50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ท่านจงมีใจยึดมั่นในอาตมา ภักดีต่ออาตมา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บูชาอาตมา ทำการนอบน้อมต่ออาตมา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ท่านจักถึงอาตมาโดยแท้ อาตมาให้สัตย์แก่ท่าน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ท่านเป็นที่รักของอาตมา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51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ท่านจงสละสรรพธรรมทั้งหลายเสีย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ถึงอาตมาอย่างเดียวเป็นสรณะ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อาตมาจักเปลื้องท่านจากบาปทั้งปวง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อย่าโศกเศร้าไปเลย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52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และ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ด้วยความภักดี ย่อมรู้จักอาตมาเท่าที่อาตมาอยู่ด้วยวิธีใด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และเป็นอย่างไรโดยถ่องแท้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และจะตรัสรู้อาตมาโดยถ่องแท้ ด้วยความภักดีนั้น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ต่อจากนั้น จึงเข้าไป (เป็นอันหนึ่งอันเดียวกัน)ในอาตมา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53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จากโศลกข้างต้น ทำให้เห็นความสำคัญ และบทบาทของความภักดีว่า มีส่วนสำคัญในการผลักดันให้เกิดการอุทิศ ทุ่มเทตนเพื่อการปฏิบัติ (ตามหลักกรรมโยคะ) และเพื่อการแสวงหาความรู้ (ตามหลักญาณโยคะ) กระทั่งเข้าถึงภาวะสูงสุดอันได้แก่ความเป็นหนึ่งเดียวกับพระเป็นเจ้า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lastRenderedPageBreak/>
        <w:tab/>
        <w:t>หากจะเปรียบเทียบกัน หลักภักดิโยคะก็คล้าย ๆ กับหลักศรัทธาทางศาสนา เพราะเบื้องต้น ศรัทธาที่บุคคลมีต่อศาสดา และคำสั่งสอน ย่อมโน้มน้าวให้เกิดความเชื่อมั่นในแนวทาง เมื่อเกิดความเชื่อมั่นแล้ว ย่อมพร้อมที่จะอุทิศตนอย่างแน่วแน่ในการที่จะปฏิบัติตามแนวทางเพื่อให้เกิดผลแก่ตน หลักภักติโยคะจึงมีบทบาทสำคัญในการนำพาบุคคลเข้าสู่จุดมุ่งหมาย เหตุนั้นในภควัทคีตาจึงถือหลักภักติโยคะเหมือนบันไดที่ทอดสู่ประตูแห่งความหลุดพ้น หลักการดังกล่าวนี้ มีผู้รู้ได้แสดงทัศนะไว้อย่างชัดเจนดังนี้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A85B62">
      <w:pPr>
        <w:tabs>
          <w:tab w:val="left" w:pos="1080"/>
        </w:tabs>
        <w:spacing w:before="240"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>“</w:t>
      </w:r>
      <w:r w:rsidRPr="006F1E0F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>วัตถุประสงค์ของคีตามีอยู่ว่า การบรรลุถึงโมกษะ หรือนิพพาน ย่อมไปได้ก็โดยอาศัยเฉพาะหลักญาณแต่อย่างเดียว แต่ว่าเพื่อจะบรรลุถึงญาณนั้น เราควรจะตั้งตัวเป็นภาชนะอันเหมาะสมสำหรับญาณนั้นเสียก่อน ซึ่งเป็นไปได้ก็โดยอาศัยกรรมหรือการปฏิบัติ การปฏิบัตินำไปสู่ความบริสุทธิจิต และความบริสุทธิจิต ย่อมนำไปสู่เขตแดงแห่งญาณ ซึ่งนับว่าเป็นโมกษะนั่นเอง</w:t>
      </w:r>
      <w:r w:rsidRPr="006F1E0F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>”</w:t>
      </w:r>
      <w:r w:rsidRPr="006F1E0F">
        <w:rPr>
          <w:rStyle w:val="FootnoteReference"/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footnoteReference w:id="54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</w:t>
      </w:r>
    </w:p>
    <w:p w:rsidR="00B3392F" w:rsidRPr="003B0389" w:rsidRDefault="00B3392F" w:rsidP="00B3392F">
      <w:pPr>
        <w:spacing w:before="240" w:after="0" w:line="270" w:lineRule="atLeast"/>
        <w:jc w:val="thaiDistribute"/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</w:pPr>
      <w:r w:rsidRPr="003B0389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๔. หลักโมกษะ</w:t>
      </w:r>
      <w:r w:rsidRPr="003B0389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โมกษะตามความหมายที่ปรากฏในภควัทคีตามีความหมายว่าอย่างไร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?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ประเด็นนี้ต้องพิจารณาถ้อยคำที่ปรากฏในภควัทคีตาโดยละเอียด เพราะในคัมภีร์มีการกล่าวถึงเรื่องนี้ไว้หลายลักษณะ จำเป็นต้องนำลักษณะต่าง ๆ ที่ปรากฏในคัมภีร์เหล่านั้นทั้งหมดมาพิจารณาโดยภาพรวม เพื่อให้เห็นแก่น หรือหลักการในเรื่องได้ถูกต้องสมบูรณ์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b/>
          <w:bCs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b/>
          <w:bCs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b/>
          <w:bCs/>
          <w:color w:val="000000"/>
          <w:sz w:val="34"/>
          <w:szCs w:val="34"/>
          <w:cs/>
        </w:rPr>
        <w:t>ก.ลักษณะหรือสภาวะโมกษะ</w:t>
      </w:r>
      <w:r w:rsidRPr="006F1E0F">
        <w:rPr>
          <w:rFonts w:ascii="TH Niramit AS" w:eastAsia="Times New Roman" w:hAnsi="TH Niramit AS" w:cs="TH Niramit AS"/>
          <w:b/>
          <w:bCs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ลักษณะหรือสภาวะของโมกษะในคัมภีร์ภควัทคีตาเป็นอย่างไร ขอประมวลจากโศลกในอัธยายะต่าง ๆ เพื่อเป็นตัวอย่างประกอบการพิจารณาดังต่อไปนี้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ปารถ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!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ศานตินี้เป็นธรรมชาติที่มีอยู่ในพรหม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ผู้ได้รับศานตินี้แล้วย่อมไม่งมงาย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ผู้ดำรงอยู่ในศานติอันเป็นธรรมชาติที่มีอยู่ในพรหมนี้แล้ว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ย่อมได้รับนิรวาณอันเป็นพรหมแม้ในเวลาใกล้ตาย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55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02472C">
      <w:pPr>
        <w:spacing w:before="240"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lastRenderedPageBreak/>
        <w:tab/>
        <w:t xml:space="preserve">คำสำคัญที่ปรากฏในโศลกบทนี้ก็คือคำว่า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“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ศานติ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”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ท่านใช้คำนี้อธิบายถึงธรรมชาติของพรหม ดังนั้นการกล่าวว่า เข้าไปเป็นหนึ่งเดียวกับพรหมจึงมีความหมายว่า เข้าไปเป็นหนึ่งเดียวกับศานติ ถ้าเราต้องการให้เกิดความชัดเจนยิ่งขึ้นว่า สภาวะของพรหมันเป็นอย่าง เราก็ต้องไปพิจารณาความหมายของคำว่า ศานติว่าคืออะไร โดยวิธีการนี้ เราก็จะได้รายละเอียดเกี่ยวกับพรหมันเพิ่มขึ้น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ลักษณะ หรือสภาวะของศานติเป็นอย่างไร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?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เบื้องต้นเราต้องไปพิจารณารายละเอียดในภควัทคีตาว่าอธิบายเรื่องนี้อย่างไร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ในภควัทคีตา แม้จะไม่ได้มีอรรถาธิบายว่าศานติคืออะไร แต่คำนี้ ก็เป็นอันทราบโดยทั่วไปว่าหมายถึง ความสงบ เป็นความสงบภายใน ส่วนจะสงบอย่างไร หรือสงบได้อย่างไร เราก็อาจสืบสาวเนื้อหา หรือข้อความจากภควัทคีตามาประติดประต่อกันเพื่อพิจาณานัยโดยภาพรวม ผู้เขียนขอประมวลเป็นข้อ ๆ ดังต่อไปนี้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๑. ไม่หวั่นไหวต่อผัสสะ มีความสม่ำเสมอในสุขและทุกข์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56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๒. วางตนเสมอในทุกข์และสุข ตั้งอยู่ในภาวะแห่งอาตมา เห็นก้อนดิน ก้อนหิน และทองคำมีสภาพเสมอกัน สิ่งที่รักและไม่รักมีสภาพเท่ากัน มีปัญญามั่นคง ติเตียน และสรรเสริญมีสภาพเท่ากัน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57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๓. พ้นจากเครื่องผูกพัน คือการเกิด เป็นภูมิอันหาทุกข์มิได้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58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๔. ใจไม่เดือดร้อนในทุกข์ ไม่ทะเยอทะยานในสุข และปราศจากราคะ ภัย โกรธ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59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๕. ไม่มีเสน่หาในที่ทั้งปวง คือแม้จะได้รับดีและชั่วนั้น ๆ แล้วก็ไม่ยินดีและไม่เสียใจ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60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๖.ไม่แปดเปื้อนด้วยบาป เสมือนใบบัวอันไม่เปียกเปื้อนด้วยน้ำ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61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๗. มีใจผ่องใส ไม่เศร้าโศก ไม่ปรารถนา มีความสม่ำเสมอในสรรพสิ่ง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62"/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lastRenderedPageBreak/>
        <w:tab/>
        <w:t>๘. ไม่ข้องในสัมผัสภายนอก เสวยความสุขที่อยู่ภายใน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63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๙. กล่าวคือมีความสุขในอาตมัน เริงรมณ์ในอาตมัน และรุ่งเรืองในอาตมัน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64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๑๐.ไม่เสื่อมสูญ ชี้ให้เห็นไม่ได้ ไม่มีรูปร่าง มีอยู่ทั่วไป เป็นอจินไตย ตั้งมั่นเหมือนภูเขา ไม่หวั่นไหว และเที่ยงแท้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65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02472C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จากข้อมูลดังกล่าวข้างต้น ทำให้เราได้มองเห็นภาพของศานติ ขณะเดียวกันก็สะท้อนให้เห็นสภาวะของพรหมัน ที่เมื่อบุคคลเข้าถึงแล้ว ก็เกิดความสงบ เพราะอยู่เหนือกิเลส และความสุข หรือความทุกข์ทั้งปวง เป็นภาวะที่มั่นคง ไม่หวั่นไหว พ้นจากเครื่องพันธนาการอันได้แก่การเวียนว่ายตายเกิด เข้าถึงบรมสุขอันเที่ยงแท้เป็นอมตะตลอดกาล </w:t>
      </w:r>
    </w:p>
    <w:p w:rsidR="00B3392F" w:rsidRPr="006F1E0F" w:rsidRDefault="00B3392F" w:rsidP="0002472C">
      <w:pPr>
        <w:spacing w:before="240" w:after="0" w:line="270" w:lineRule="atLeast"/>
        <w:jc w:val="thaiDistribute"/>
        <w:rPr>
          <w:rFonts w:ascii="TH Niramit AS" w:eastAsia="Times New Roman" w:hAnsi="TH Niramit AS" w:cs="TH Niramit AS"/>
          <w:b/>
          <w:bCs/>
          <w:color w:val="000000"/>
          <w:sz w:val="34"/>
          <w:szCs w:val="34"/>
          <w:cs/>
        </w:rPr>
      </w:pPr>
      <w:r w:rsidRPr="006F1E0F">
        <w:rPr>
          <w:rFonts w:ascii="TH Niramit AS" w:eastAsia="Times New Roman" w:hAnsi="TH Niramit AS" w:cs="TH Niramit AS"/>
          <w:b/>
          <w:bCs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b/>
          <w:bCs/>
          <w:color w:val="000000"/>
          <w:sz w:val="34"/>
          <w:szCs w:val="34"/>
          <w:cs/>
        </w:rPr>
        <w:t>ข.แนวทางในการปฏิบัติตนเพื่อบรรลุโมกษะ</w:t>
      </w:r>
      <w:r w:rsidRPr="006F1E0F">
        <w:rPr>
          <w:rFonts w:ascii="TH Niramit AS" w:eastAsia="Times New Roman" w:hAnsi="TH Niramit AS" w:cs="TH Niramit AS"/>
          <w:b/>
          <w:bCs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แนวทางในการปฏิบัติเพื่อบรรลุโมกษะ นอกจากที่ได้กล่าวในเรื่องโยคะ ๓ ประการ อันได้แก่กรรมโยคะ ญาณโยคะ และภักติโยคะซึ่งถือเป็นหลักการใหญ่แล้ว ดังได้กล่าวมาแล้วในเรื่องแนวความคิดเรื่องหลักโยคะ ถึงกระนั้นในรายละเอียด ยังมีข้อปฏิบัติปลีกย่อย ซึ่งถือเป็นปฏิปทาเฉพาะสำหรับผู้ที่มุ่งสู่หนทางนี้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รายละเอียดดังกล่าว สะท้อนให้เห็นแนวทางปฏิบัติ ตั้งแต่เบื้องต้น คือการเตรียมตัว ซึ่งก็ได้แก่การวางท่าทีของจิตให้ถูกต้อง การปฏิบัติที่ถูกต้อง กระทั่งบรรลุถึงโมกษะ เราจะพิจารณาเรื่องนี้ไปพร้อม ๆ กับตัวอย่างที่คัดมาประกอบ ตั้งแต่อัธยายะต้น ๆ กระทั่งถึงอัธยายะสุดท้าย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แน่ท่านผู้เลิศบุรุษ ธีรชนผู้ไม่หวั่นไหวต่อผัสสะเหล่านี้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66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มีความสม่ำเสมอในสุขและทุกข์นั้น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ย่อมเหมาะแก่ความเป็นอมฤต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67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เมื่อใด จิตได้ถูกบังคับไว้ดีแล้ว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ตั้งมั่นอยู่ในอาตมันโดยแท้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lastRenderedPageBreak/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ปราศจากความอยาก จากความใคร่ทั้งปวง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  <w:cs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เมื่อนั้นจึงได้ชื่อว่าโยคี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68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 </w:t>
      </w:r>
    </w:p>
    <w:p w:rsidR="00B3392F" w:rsidRPr="006F1E0F" w:rsidRDefault="00B3392F" w:rsidP="00B3392F">
      <w:pPr>
        <w:spacing w:before="240"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อรชุน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!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ผู้ใดเห็นสุขหรือทุกข์ในทุก ๆ สิ่ง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เสมอด้วยสุขหรือทุกข์ของตนเอง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ผู้นั้น ชื่อว่าเป็นบรมโยคี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69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 </w:t>
      </w:r>
    </w:p>
    <w:p w:rsidR="00B3392F" w:rsidRPr="006F1E0F" w:rsidRDefault="00B3392F" w:rsidP="00B3392F">
      <w:pPr>
        <w:spacing w:before="240"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ผู้ใดสำรวมทวารทั้งปวงได้แล้ว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และกักขังใจไว้ในดวงฤทัย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ตั้งลมปราณไว้ที่กระหม่อมของตนด้วยดวงจิตเป็นสมาธิไว้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//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เปล่งเสียง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“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โอม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”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พยางค์เดียวซึ่งเป็นพรหม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ระลึกถึงอาตมาอยู่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ละร่างไปแล้ว ผู้นั้นย่อมบรรลุบรมคติ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//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ปารถ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!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ผู้ใดมีใจไม่นอกเหนือไปจากอาตมาตลอดนิรันดร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ระลึกถึงอาตมาเนื่องนิตย์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อาตมารับรองอย่างดีซึ่งผู้นั้น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อันเป็นโยคีประกอบสมาธิเป็นนิตย์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70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 </w:t>
      </w:r>
    </w:p>
    <w:p w:rsidR="00B3392F" w:rsidRPr="006F1E0F" w:rsidRDefault="00B3392F" w:rsidP="00B3392F">
      <w:pPr>
        <w:spacing w:before="240"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ผู้ใดเห็นปรเมศวรอันดำรงอยู่ในสรรพสิ่งทั้งหลาย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สม่ำเสมอ ไม่เสื่อมสูญ แต่อยู่ในสิ่งที่เสื่อมสูญ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ผู้นั้นชื่อได้มองเห็นเห็นแล้ว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//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เพราะว่าเมื่อเห็นอิศวรดำรงอยู่ในสิ่งทั้งปวงสม่ำเสมอแล้ว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ย่อมไม่ล้างผลาญอาตมาด้วยอาตมา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แต่นั้นย่อมบรรลุบรมคติ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71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before="240"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กาลใดเขาพิจารณาเห็นความแตกต่าง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ระหว่างสิ่งทั้งหลายอยู่ในความเป็นอันเดียวกัน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lastRenderedPageBreak/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แต่นั้น เขาย่อมบรรลุพรหมอันแผ่นซ่านในกาลนั้นโดยแท้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72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before="240"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ผู้ประกอบด้วยพุทธิอันหมดจด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และข่มตนเองได้ด้วยธฤติ สละอารมณ์มีสัททารมณ์เป็นต้น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และละความรักความชัง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//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เสพที่สงัด บริโภคน้อย บังคับกาย วาจา ใจ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ยึดสมาธิเป็นหลัก อาศัยวิราคธรรมเป็นนิตย์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//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พ้นอหังการ ความห้าวหาญ ดื้อ กาม โกรธ บริเคราะห์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ไม่มีมมังการ มีความสงบ </w:t>
      </w:r>
    </w:p>
    <w:p w:rsidR="00B3392F" w:rsidRPr="006F1E0F" w:rsidRDefault="00B3392F" w:rsidP="00B3392F">
      <w:pPr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ย่อมเหมาะที่จะตรัสรู้พรหม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//</w:t>
      </w:r>
      <w:r w:rsidRPr="006F1E0F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</w:rPr>
        <w:footnoteReference w:id="73"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spacing w:before="240"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เท่าที่คัดมาเป็นตัวอย่าง พอทำให้เราสรุปได้ว่า ผู้ที่จะบรรลุโมกษะนั้นต้องวางตนไว้อย่างไร และปฏิบัติตนอย่างไรบ้าง ผู้เขียนไม่ขอสรุป เพราเห็นว่า กระจ่างชัดพอสมควรแล้ว ที่สำคัญยิ่งไปกว่านั้น รายละเอียดที่อธิบายหนทางที่จะนำไปสู่โมกษะมีมาก โดยเฉพาะอัธยายะที่ ๑๘ โศลกเกือบทุกโศลกได้อุทิศเนื้อหาเพื่อการนี้โดยเฉพาะ ผู้ได้ศึกษาในรายละเอียดก็จะมองเห็นแนวทางได้ด้วยตนเอง เพราะเนื้อหาเหล่านั้น แม้จะหลากหลาย แต่ก็มีความชัดเจนอยู่ในตัว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ab/>
        <w:t xml:space="preserve"> </w:t>
      </w:r>
    </w:p>
    <w:p w:rsidR="00B3392F" w:rsidRPr="00046CA1" w:rsidRDefault="00B3392F" w:rsidP="00B3392F">
      <w:pPr>
        <w:spacing w:before="240" w:after="0" w:line="270" w:lineRule="atLeast"/>
        <w:jc w:val="thaiDistribute"/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</w:pPr>
      <w:bookmarkStart w:id="0" w:name="_GoBack"/>
      <w:r w:rsidRPr="00046CA1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๕. บทสรุป</w:t>
      </w:r>
      <w:r w:rsidRPr="00046CA1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ab/>
      </w:r>
      <w:r w:rsidRPr="00046CA1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ab/>
      </w:r>
      <w:r w:rsidRPr="00046CA1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 xml:space="preserve"> </w:t>
      </w:r>
    </w:p>
    <w:bookmarkEnd w:id="0"/>
    <w:p w:rsidR="00B3392F" w:rsidRPr="006F1E0F" w:rsidRDefault="00B3392F" w:rsidP="00B3392F">
      <w:pPr>
        <w:tabs>
          <w:tab w:val="left" w:pos="1080"/>
        </w:tabs>
        <w:spacing w:before="240"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ปรัชญาภควัทคีตา ถือเป็นปรัชญาที่มีความโดดเด่นทั้งในแง่ของแนวคิด (ญาณโยค) ในแง่ของการปฏิบัติ (กรรมโยคะ) และในแง่ของความอุทิศทุ่มเทต่ออุดมการณ์ (ภักติโยคะ) โดยที่ทั้ง ๓ หลักนี้ ต่างสนับสนุน ส่งเสริมเพื่อให้เกิดความสมบูรณ์ในฐานะเป็นเครื่องมือนำไปสู่เป้าหมายสูงสุดคือโมกษะ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ปรัชญภควัทคีตา สะท้อนให้เห็นบทบาทหน้าที่ว่ามีความสำคัญเหนือสิ่งใด เพราะสรรพชีวิตเกิดมาล้วนผูกพันด้วยภาระหน้าที่ ไม่ว่าจะพิจารณาในแง่ของปัจเจก สังคม กระทั่งถึงกลไกแห่งจักรวาลทั้งปวง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lastRenderedPageBreak/>
        <w:tab/>
        <w:t>ที่น่าสนใจ และถือเป็นพัฒนาการทางปรัชญาที่เกี่ยวข้องกับเรื่องบทบาทหน้าที่นี้ก็คือ การอธิบายระบบวรรณะใหม่ ในรูปแบบของการกระทำ แทนกล่าวถึงโองการพระเป็นเจ้าเหมือนที่ปรากฏในคัมภีร์พระเวท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 ภควัทคีตาแม้เบื้องต้นจะบอกว่าเป็นเรื่องที่บอกว่า 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“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ได้จำแนกไว้แล้ว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</w:rPr>
        <w:t>”</w:t>
      </w: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 แต่การจำแนกดังกล่าวก็อาศัยพื้นฐานทางพฤติกรรมที่สั่งสมมาแต่อดีต เช่น เมื่อพรรณนาถึงพราหมณ์ ท่านก็กล่าวโดยเน้นถึงหน้าที่เป็นสำคัญ เช่น เมื่อกล่าวถึงหน้าที่หน้าที่ของพราหมณ์ ท่านก็บอกว่า เกิดจากนิสัยเดิม คือการบังคับอินทรีย์ภายในใจ การบังคับอินทรีย์ภายนอก การบำเพ็ญพรต ความบริสุทธิ์ ความอดทน ความซื่อตรง ปัญญา และญาณ และความเลื่อมใสในพระเวท   เมื่อกล่าวถึงหน้าที่ของกษัตริย์ นิสัยเดิมของกษัตริย์ คือความกล้าหาญ ทรงเดช ความมั่นคง ความเข้มแข็ง ความไม่ครั่นคร้านในสงคราม บริจาคทาน และความสามารถในการปกครอง  นิสัยเดิมของไวศยะคือกสิกรรม โครักขกรรม พาณิชยกรรม ส่วนหน้าที่ของศูทรอันเกิดจากนิสัยเดิมคือการรับใช้</w:t>
      </w:r>
    </w:p>
    <w:p w:rsidR="00B3392F" w:rsidRPr="006F1E0F" w:rsidRDefault="00B3392F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6F1E0F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เกี่ยวกับบทบาทหน้าที่ ภควัทคีตาบอกเราว่า หน้าที่แต่ละอย่างนั้น แม้จะมีโทษอยู่บ้าง เราก็ไม่ควรละทิ้ง  ดังนั้น ทัศนะของอรชุนที่ว่าเป็นบาปเมื่อต้องฆ่ากันในสงคราม ถือเป็นทัศนะที่ไม่ถูกต้อง เพราะการสู้รบเพื่อปกป้องประเทศชาติ ปราบอธรรม ปกป้องธรรมนั้น เป็นหน้าที่ของกษัตริย์ </w:t>
      </w:r>
    </w:p>
    <w:p w:rsidR="0002472C" w:rsidRPr="006F1E0F" w:rsidRDefault="0002472C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</w:p>
    <w:p w:rsidR="0002472C" w:rsidRPr="006F1E0F" w:rsidRDefault="0002472C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</w:p>
    <w:p w:rsidR="0002472C" w:rsidRPr="006F1E0F" w:rsidRDefault="0002472C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</w:p>
    <w:p w:rsidR="0002472C" w:rsidRPr="006F1E0F" w:rsidRDefault="0002472C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</w:p>
    <w:p w:rsidR="0002472C" w:rsidRPr="006F1E0F" w:rsidRDefault="0002472C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</w:p>
    <w:p w:rsidR="0002472C" w:rsidRPr="006F1E0F" w:rsidRDefault="0002472C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</w:p>
    <w:p w:rsidR="0002472C" w:rsidRPr="006F1E0F" w:rsidRDefault="0002472C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</w:p>
    <w:p w:rsidR="0002472C" w:rsidRPr="006F1E0F" w:rsidRDefault="0002472C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</w:p>
    <w:p w:rsidR="0002472C" w:rsidRPr="006F1E0F" w:rsidRDefault="0002472C" w:rsidP="00B3392F">
      <w:pPr>
        <w:tabs>
          <w:tab w:val="left" w:pos="1080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</w:p>
    <w:sectPr w:rsidR="0002472C" w:rsidRPr="006F1E0F" w:rsidSect="006F1E0F">
      <w:headerReference w:type="default" r:id="rId8"/>
      <w:footnotePr>
        <w:numFmt w:val="thaiNumbers"/>
      </w:footnotePr>
      <w:pgSz w:w="11907" w:h="16839" w:code="9"/>
      <w:pgMar w:top="2160" w:right="1440" w:bottom="1440" w:left="2160" w:header="720" w:footer="720" w:gutter="0"/>
      <w:pgNumType w:fmt="thaiNumbers" w:start="6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654" w:rsidRDefault="00E23654" w:rsidP="00645EDC">
      <w:pPr>
        <w:spacing w:after="0" w:line="240" w:lineRule="auto"/>
      </w:pPr>
      <w:r>
        <w:separator/>
      </w:r>
    </w:p>
  </w:endnote>
  <w:endnote w:type="continuationSeparator" w:id="0">
    <w:p w:rsidR="00E23654" w:rsidRDefault="00E23654" w:rsidP="00645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654" w:rsidRDefault="00E23654" w:rsidP="00645EDC">
      <w:pPr>
        <w:spacing w:after="0" w:line="240" w:lineRule="auto"/>
      </w:pPr>
      <w:r>
        <w:separator/>
      </w:r>
    </w:p>
  </w:footnote>
  <w:footnote w:type="continuationSeparator" w:id="0">
    <w:p w:rsidR="00E23654" w:rsidRDefault="00E23654" w:rsidP="00645EDC">
      <w:pPr>
        <w:spacing w:after="0" w:line="240" w:lineRule="auto"/>
      </w:pPr>
      <w:r>
        <w:continuationSeparator/>
      </w:r>
    </w:p>
  </w:footnote>
  <w:footnote w:id="1">
    <w:p w:rsidR="001E23E2" w:rsidRPr="006F1E0F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hAnsi="TH Niramit AS" w:cs="TH Niramit AS"/>
          <w:sz w:val="28"/>
          <w:szCs w:val="28"/>
          <w:cs/>
        </w:rPr>
        <w:t xml:space="preserve">โจเซฟ แกร์, </w:t>
      </w:r>
      <w:r w:rsidRPr="006F1E0F">
        <w:rPr>
          <w:rFonts w:ascii="TH Niramit AS" w:hAnsi="TH Niramit AS" w:cs="TH Niramit AS"/>
          <w:b/>
          <w:bCs/>
          <w:sz w:val="28"/>
          <w:szCs w:val="28"/>
          <w:cs/>
        </w:rPr>
        <w:t>ศาสนาทั้งหลายนับถืออะไร.</w:t>
      </w:r>
      <w:r w:rsidRPr="006F1E0F">
        <w:rPr>
          <w:rFonts w:ascii="TH Niramit AS" w:hAnsi="TH Niramit AS" w:cs="TH Niramit AS"/>
          <w:sz w:val="28"/>
          <w:szCs w:val="28"/>
          <w:cs/>
        </w:rPr>
        <w:t xml:space="preserve"> ฟื้น ดอกบัว, ผู้แปล. (พระนคร </w:t>
      </w:r>
      <w:r w:rsidRPr="006F1E0F">
        <w:rPr>
          <w:rFonts w:ascii="TH Niramit AS" w:hAnsi="TH Niramit AS" w:cs="TH Niramit AS"/>
          <w:sz w:val="28"/>
          <w:szCs w:val="28"/>
        </w:rPr>
        <w:t xml:space="preserve">: </w:t>
      </w:r>
      <w:r w:rsidRPr="006F1E0F">
        <w:rPr>
          <w:rFonts w:ascii="TH Niramit AS" w:hAnsi="TH Niramit AS" w:cs="TH Niramit AS"/>
          <w:sz w:val="28"/>
          <w:szCs w:val="28"/>
          <w:cs/>
        </w:rPr>
        <w:t>โอเดียน</w:t>
      </w:r>
      <w:r w:rsidR="00855261"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hAnsi="TH Niramit AS" w:cs="TH Niramit AS"/>
          <w:sz w:val="28"/>
          <w:szCs w:val="28"/>
          <w:cs/>
        </w:rPr>
        <w:t>สโตร์, ๒๕๓๓), หน้า ๓๕.</w:t>
      </w:r>
    </w:p>
  </w:footnote>
  <w:footnote w:id="2">
    <w:p w:rsidR="001E23E2" w:rsidRPr="006F1E0F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hAnsi="TH Niramit AS" w:cs="TH Niramit AS"/>
          <w:sz w:val="28"/>
          <w:szCs w:val="28"/>
          <w:cs/>
        </w:rPr>
        <w:t xml:space="preserve">ยวาหระลาล เนห์รู. </w:t>
      </w:r>
      <w:r w:rsidRPr="006F1E0F">
        <w:rPr>
          <w:rFonts w:ascii="TH Niramit AS" w:hAnsi="TH Niramit AS" w:cs="TH Niramit AS"/>
          <w:b/>
          <w:bCs/>
          <w:sz w:val="28"/>
          <w:szCs w:val="28"/>
          <w:cs/>
        </w:rPr>
        <w:t>พบถิ่นอินเดีย.</w:t>
      </w:r>
      <w:r w:rsidRPr="006F1E0F">
        <w:rPr>
          <w:rFonts w:ascii="TH Niramit AS" w:hAnsi="TH Niramit AS" w:cs="TH Niramit AS"/>
          <w:sz w:val="28"/>
          <w:szCs w:val="28"/>
          <w:cs/>
        </w:rPr>
        <w:t xml:space="preserve">อ้างแล้ว, หน้า ๑๙๑. </w:t>
      </w:r>
    </w:p>
  </w:footnote>
  <w:footnote w:id="3">
    <w:p w:rsidR="001E23E2" w:rsidRPr="006F1E0F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hAnsi="TH Niramit AS" w:cs="TH Niramit AS"/>
          <w:sz w:val="28"/>
          <w:szCs w:val="28"/>
          <w:cs/>
        </w:rPr>
        <w:t xml:space="preserve">กฤษณะไทวปายนวยาส, </w:t>
      </w:r>
      <w:r w:rsidRPr="006F1E0F">
        <w:rPr>
          <w:rFonts w:ascii="TH Niramit AS" w:hAnsi="TH Niramit AS" w:cs="TH Niramit AS"/>
          <w:b/>
          <w:bCs/>
          <w:sz w:val="28"/>
          <w:szCs w:val="28"/>
          <w:cs/>
        </w:rPr>
        <w:t>ศรัมัทภควัทคีตา</w:t>
      </w:r>
      <w:r w:rsidRPr="006F1E0F">
        <w:rPr>
          <w:rFonts w:ascii="TH Niramit AS" w:hAnsi="TH Niramit AS" w:cs="TH Niramit AS"/>
          <w:sz w:val="28"/>
          <w:szCs w:val="28"/>
          <w:cs/>
        </w:rPr>
        <w:t xml:space="preserve">. ศาสตราจารย์ ร.ต.ท.แสง มนวิฑูร ผู้แปล. (กรุงเทพ ฯ </w:t>
      </w:r>
      <w:r w:rsidRPr="006F1E0F">
        <w:rPr>
          <w:rFonts w:ascii="TH Niramit AS" w:hAnsi="TH Niramit AS" w:cs="TH Niramit AS"/>
          <w:sz w:val="28"/>
          <w:szCs w:val="28"/>
        </w:rPr>
        <w:t xml:space="preserve">: </w:t>
      </w:r>
      <w:r w:rsidRPr="006F1E0F">
        <w:rPr>
          <w:rFonts w:ascii="TH Niramit AS" w:hAnsi="TH Niramit AS" w:cs="TH Niramit AS"/>
          <w:sz w:val="28"/>
          <w:szCs w:val="28"/>
          <w:cs/>
        </w:rPr>
        <w:t>สำนักพิมพ์ดวงแก้ว จัดพิมพ์, ๒๕๕๑), หน้า ๑๗.</w:t>
      </w:r>
    </w:p>
  </w:footnote>
  <w:footnote w:id="4">
    <w:p w:rsidR="001E23E2" w:rsidRPr="006F1E0F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hAnsi="TH Niramit AS" w:cs="TH Niramit AS"/>
          <w:sz w:val="28"/>
          <w:szCs w:val="28"/>
          <w:cs/>
        </w:rPr>
        <w:t>อัธยายะที่ ๒,โศสกที่ ๑๗.</w:t>
      </w:r>
    </w:p>
  </w:footnote>
  <w:footnote w:id="5">
    <w:p w:rsidR="001E23E2" w:rsidRPr="006F1E0F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hAnsi="TH Niramit AS" w:cs="TH Niramit AS"/>
          <w:sz w:val="28"/>
          <w:szCs w:val="28"/>
          <w:cs/>
        </w:rPr>
        <w:t>อัธยายะที่ ๒,โศลกที่ ๑๘.</w:t>
      </w:r>
    </w:p>
  </w:footnote>
  <w:footnote w:id="6">
    <w:p w:rsidR="001E23E2" w:rsidRPr="006F1E0F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hAnsi="TH Niramit AS" w:cs="TH Niramit AS"/>
          <w:sz w:val="28"/>
          <w:szCs w:val="28"/>
          <w:cs/>
        </w:rPr>
        <w:t>อัธยายะที่ ๒,โศลกที่ ๒๐.</w:t>
      </w:r>
    </w:p>
  </w:footnote>
  <w:footnote w:id="7">
    <w:p w:rsidR="001E23E2" w:rsidRPr="006F1E0F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hAnsi="TH Niramit AS" w:cs="TH Niramit AS"/>
          <w:sz w:val="28"/>
          <w:szCs w:val="28"/>
          <w:cs/>
        </w:rPr>
        <w:t>อัธยายะที่ ๒,โศลกที่ ๒๒.</w:t>
      </w:r>
    </w:p>
  </w:footnote>
  <w:footnote w:id="8">
    <w:p w:rsidR="001E23E2" w:rsidRPr="006F1E0F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hAnsi="TH Niramit AS" w:cs="TH Niramit AS"/>
          <w:sz w:val="28"/>
          <w:szCs w:val="28"/>
          <w:cs/>
        </w:rPr>
        <w:t>อัธยายะที่ ๒,โศลกที่ ๒๗.</w:t>
      </w:r>
    </w:p>
  </w:footnote>
  <w:footnote w:id="9">
    <w:p w:rsidR="001E23E2" w:rsidRPr="006F1E0F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  <w:cs/>
        </w:rPr>
        <w:t>อัธยายะที่ ๒,โศลกที่ ๓๒.</w:t>
      </w:r>
    </w:p>
  </w:footnote>
  <w:footnote w:id="10">
    <w:p w:rsidR="001E23E2" w:rsidRPr="006F1E0F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  <w:cs/>
        </w:rPr>
        <w:t>อัธยายะที่ ๒,โศลกที่ ๓๑.</w:t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</w:p>
  </w:footnote>
  <w:footnote w:id="11">
    <w:p w:rsidR="001E23E2" w:rsidRPr="006F1E0F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  <w:cs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  <w:cs/>
        </w:rPr>
        <w:t>อัธยายะที่ ๒,โศลกที่ ๓๗.</w:t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</w:p>
  </w:footnote>
  <w:footnote w:id="12">
    <w:p w:rsidR="001E23E2" w:rsidRPr="006F1E0F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  <w:cs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  <w:cs/>
        </w:rPr>
        <w:t>อัธยายะที่ ๒, โศลกที่ ๓๓,๓๔.</w:t>
      </w:r>
    </w:p>
  </w:footnote>
  <w:footnote w:id="13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jc w:val="thaiDistribute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พจนานุกรมฉบับราชบัณฑิตยสถาน พ.ศ.๒๕๒๕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พิมพ์ครั้งที่ ๖.(กรุงเทพ ฯ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: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อักษรเจริญทัศน์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๒๕๓๙)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หน้า ๔๙๙. </w:t>
      </w:r>
    </w:p>
  </w:footnote>
  <w:footnote w:id="14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๗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๔. </w:t>
      </w:r>
    </w:p>
  </w:footnote>
  <w:footnote w:id="15">
    <w:p w:rsidR="001E23E2" w:rsidRPr="006F1E0F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๗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โศลกที่ ๕.</w:t>
      </w:r>
    </w:p>
  </w:footnote>
  <w:footnote w:id="16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๗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๖. </w:t>
      </w:r>
    </w:p>
  </w:footnote>
  <w:footnote w:id="17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๑๐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๘. </w:t>
      </w:r>
    </w:p>
  </w:footnote>
  <w:footnote w:id="18">
    <w:p w:rsidR="001E23E2" w:rsidRPr="006F1E0F" w:rsidRDefault="001E23E2" w:rsidP="0002472C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หมายเหตุอัธยายะที่ ๗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หน้า ๘๕. </w:t>
      </w:r>
    </w:p>
  </w:footnote>
  <w:footnote w:id="19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๑๓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๓๐. </w:t>
      </w:r>
    </w:p>
  </w:footnote>
  <w:footnote w:id="20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๓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๕. </w:t>
      </w:r>
    </w:p>
  </w:footnote>
  <w:footnote w:id="21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๑๔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๙. </w:t>
      </w:r>
    </w:p>
  </w:footnote>
  <w:footnote w:id="22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๙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๑๐. </w:t>
      </w:r>
    </w:p>
  </w:footnote>
  <w:footnote w:id="23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เช่น อัธยายะที่ ๑๓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๓๒. </w:t>
      </w:r>
    </w:p>
  </w:footnote>
  <w:footnote w:id="24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๑๓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๒๑. </w:t>
      </w:r>
    </w:p>
  </w:footnote>
  <w:footnote w:id="25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jc w:val="thaiDistribute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สุนทร ณ รังษี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</w:t>
      </w:r>
      <w:r w:rsidRPr="006F1E0F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 xml:space="preserve">ปรัชญาอินเดีย </w:t>
      </w:r>
      <w:r w:rsidRPr="006F1E0F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 xml:space="preserve">: </w:t>
      </w:r>
      <w:r w:rsidRPr="006F1E0F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>ประวัติและลัทธิ.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(กรุงเทพ ฯ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: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สำนักพิมพ์จุฬาลงกรณ์มหาวิทยาลัย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๒๕๓๗)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หน้า ๕๒-๕๓. </w:t>
      </w:r>
    </w:p>
  </w:footnote>
  <w:footnote w:id="26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๓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๔. </w:t>
      </w:r>
    </w:p>
  </w:footnote>
  <w:footnote w:id="27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๓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๖. </w:t>
      </w:r>
    </w:p>
  </w:footnote>
  <w:footnote w:id="28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๓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๗. </w:t>
      </w:r>
    </w:p>
  </w:footnote>
  <w:footnote w:id="29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๓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๑๕. </w:t>
      </w:r>
    </w:p>
  </w:footnote>
  <w:footnote w:id="30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๓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๒๔. </w:t>
      </w:r>
    </w:p>
  </w:footnote>
  <w:footnote w:id="31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๓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๕. </w:t>
      </w:r>
    </w:p>
  </w:footnote>
  <w:footnote w:id="32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๓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๘. </w:t>
      </w:r>
    </w:p>
  </w:footnote>
  <w:footnote w:id="33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๓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๙. </w:t>
      </w:r>
    </w:p>
  </w:footnote>
  <w:footnote w:id="34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๓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๒๐. </w:t>
      </w:r>
    </w:p>
  </w:footnote>
  <w:footnote w:id="35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๑๘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๒๓. </w:t>
      </w:r>
    </w:p>
  </w:footnote>
  <w:footnote w:id="36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๑๘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๒๔. </w:t>
      </w:r>
    </w:p>
  </w:footnote>
  <w:footnote w:id="37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๑๘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โศลกที่ ๒๕.</w:t>
      </w:r>
    </w:p>
  </w:footnote>
  <w:footnote w:id="38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๓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๑๙. </w:t>
      </w:r>
    </w:p>
  </w:footnote>
  <w:footnote w:id="39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๔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๓๓. </w:t>
      </w:r>
    </w:p>
  </w:footnote>
  <w:footnote w:id="40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๔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๓๕. </w:t>
      </w:r>
    </w:p>
  </w:footnote>
  <w:footnote w:id="41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๔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๓๖. </w:t>
      </w:r>
    </w:p>
  </w:footnote>
  <w:footnote w:id="42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๔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๓๗. </w:t>
      </w:r>
    </w:p>
  </w:footnote>
  <w:footnote w:id="43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๔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๓๘. </w:t>
      </w:r>
    </w:p>
  </w:footnote>
  <w:footnote w:id="44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๔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๔๐. </w:t>
      </w:r>
    </w:p>
  </w:footnote>
  <w:footnote w:id="45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๔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๔๑. </w:t>
      </w:r>
    </w:p>
  </w:footnote>
  <w:footnote w:id="46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๔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๔๒. </w:t>
      </w:r>
    </w:p>
  </w:footnote>
  <w:footnote w:id="47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สุนทร ณ รังษี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</w:t>
      </w:r>
      <w:r w:rsidRPr="006F1E0F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>อ้างแล้ว</w:t>
      </w:r>
      <w:r w:rsidRPr="006F1E0F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หน้า ๕๔. </w:t>
      </w:r>
    </w:p>
  </w:footnote>
  <w:footnote w:id="48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๑๒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๗. </w:t>
      </w:r>
    </w:p>
  </w:footnote>
  <w:footnote w:id="49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jc w:val="thaiDistribute"/>
        <w:rPr>
          <w:rFonts w:ascii="TH Niramit AS" w:eastAsia="Times New Roman" w:hAnsi="TH Niramit AS" w:cs="TH Niramit AS"/>
          <w:color w:val="000000"/>
          <w:sz w:val="28"/>
          <w:szCs w:val="28"/>
        </w:rPr>
      </w:pPr>
      <w:r w:rsidRPr="006F1E0F">
        <w:rPr>
          <w:rFonts w:ascii="TH Niramit AS" w:hAnsi="TH Niramit AS" w:cs="TH Niramit AS"/>
          <w:sz w:val="28"/>
          <w:szCs w:val="28"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สุนทร ณ รังษี</w:t>
      </w:r>
      <w:r w:rsidRPr="006F1E0F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 xml:space="preserve"> อ้างแล้ว</w:t>
      </w:r>
      <w:r w:rsidRPr="006F1E0F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หน้า ๕๙. </w:t>
      </w:r>
    </w:p>
  </w:footnote>
  <w:footnote w:id="50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  <w:cs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๑๘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๖๘. </w:t>
      </w:r>
    </w:p>
  </w:footnote>
  <w:footnote w:id="51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  <w:cs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๑๘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๖๕. </w:t>
      </w:r>
    </w:p>
  </w:footnote>
  <w:footnote w:id="52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  <w:cs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๑๘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โศลกที่ ๖๖.</w:t>
      </w:r>
    </w:p>
  </w:footnote>
  <w:footnote w:id="53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  <w:cs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๑๘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โศลกที่ ๕๕.</w:t>
      </w:r>
    </w:p>
  </w:footnote>
  <w:footnote w:id="54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jc w:val="thaiDistribute"/>
        <w:rPr>
          <w:rFonts w:ascii="TH Niramit AS" w:eastAsia="Times New Roman" w:hAnsi="TH Niramit AS" w:cs="TH Niramit AS"/>
          <w:color w:val="000000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  <w:cs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สวามี สัตยานันทบุรี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>บทนำ. ศรีมัทภควัทคีตา.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ศาตราจารย์ ร.ต.ท.แสง มนวิฑูร ผู้แปล. (กรุงเทพ ฯ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: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สำนักพิมพ์ดวงแก้ว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๒๕๕๑)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หน้า (๑๒). </w:t>
      </w:r>
    </w:p>
  </w:footnote>
  <w:footnote w:id="55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  <w:cs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๒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๗๒. </w:t>
      </w:r>
    </w:p>
  </w:footnote>
  <w:footnote w:id="56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  <w:cs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๒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๑๕. </w:t>
      </w:r>
    </w:p>
  </w:footnote>
  <w:footnote w:id="57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  <w:cs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๑๔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๒๔. </w:t>
      </w:r>
    </w:p>
  </w:footnote>
  <w:footnote w:id="58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  <w:cs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๒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๕๑. </w:t>
      </w:r>
    </w:p>
  </w:footnote>
  <w:footnote w:id="59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  <w:cs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๒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โศลกที่ ๕๖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๕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โศลกที่ ๒๘.</w:t>
      </w:r>
    </w:p>
  </w:footnote>
  <w:footnote w:id="60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  <w:cs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๒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๕๗. </w:t>
      </w:r>
    </w:p>
  </w:footnote>
  <w:footnote w:id="61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  <w:cs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๕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๑๐. </w:t>
      </w:r>
    </w:p>
  </w:footnote>
  <w:footnote w:id="62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  <w:cs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๑๘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๕๔. </w:t>
      </w:r>
    </w:p>
  </w:footnote>
  <w:footnote w:id="63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  <w:cs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๕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๒๑. </w:t>
      </w:r>
    </w:p>
  </w:footnote>
  <w:footnote w:id="64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  <w:cs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๕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๒๔. </w:t>
      </w:r>
    </w:p>
  </w:footnote>
  <w:footnote w:id="65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  <w:cs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๑๒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โศลกที่ ๑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๓. </w:t>
      </w:r>
    </w:p>
  </w:footnote>
  <w:footnote w:id="66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jc w:val="thaiDistribute"/>
        <w:rPr>
          <w:rFonts w:ascii="TH Niramit AS" w:eastAsia="Times New Roman" w:hAnsi="TH Niramit AS" w:cs="TH Niramit AS"/>
          <w:color w:val="000000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  <w:cs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หมายถึง อาการสัมผัสระหว่างวิษัยกับอินทรีย์ ที่ทำให้เกิดหนาว ร้อน สุข ทุกข์ต่าง ๆ (ดูอัธยายะที่ ๒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๑๔) </w:t>
      </w:r>
    </w:p>
  </w:footnote>
  <w:footnote w:id="67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  <w:cs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๒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๑๕. </w:t>
      </w:r>
    </w:p>
  </w:footnote>
  <w:footnote w:id="68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  <w:cs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๖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๑๘. </w:t>
      </w:r>
    </w:p>
  </w:footnote>
  <w:footnote w:id="69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  <w:cs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๖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๓๒. </w:t>
      </w:r>
    </w:p>
  </w:footnote>
  <w:footnote w:id="70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  <w:cs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๘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โศลกที่ ๑๒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๑๓และ ๑๔ ตามลำดับ </w:t>
      </w:r>
    </w:p>
  </w:footnote>
  <w:footnote w:id="71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  <w:cs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๑๓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โศลกที่ ๒๘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๒๙ ตามลำดับ </w:t>
      </w:r>
    </w:p>
  </w:footnote>
  <w:footnote w:id="72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  <w:cs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๑๓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โศลกที่ ๓๑. </w:t>
      </w:r>
    </w:p>
  </w:footnote>
  <w:footnote w:id="73">
    <w:p w:rsidR="001E23E2" w:rsidRPr="006F1E0F" w:rsidRDefault="001E23E2" w:rsidP="00B3392F">
      <w:pPr>
        <w:pStyle w:val="FootnoteText"/>
        <w:tabs>
          <w:tab w:val="left" w:pos="1080"/>
        </w:tabs>
        <w:spacing w:line="270" w:lineRule="atLeast"/>
        <w:rPr>
          <w:rFonts w:ascii="TH Niramit AS" w:eastAsia="Times New Roman" w:hAnsi="TH Niramit AS" w:cs="TH Niramit AS"/>
          <w:color w:val="000000"/>
          <w:sz w:val="28"/>
          <w:szCs w:val="28"/>
          <w:cs/>
        </w:rPr>
      </w:pPr>
      <w:r w:rsidRPr="006F1E0F">
        <w:rPr>
          <w:rFonts w:ascii="TH Niramit AS" w:hAnsi="TH Niramit AS" w:cs="TH Niramit AS"/>
          <w:sz w:val="28"/>
          <w:szCs w:val="28"/>
          <w:cs/>
        </w:rPr>
        <w:tab/>
      </w:r>
      <w:r w:rsidRPr="006F1E0F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6F1E0F">
        <w:rPr>
          <w:rFonts w:ascii="TH Niramit AS" w:hAnsi="TH Niramit AS" w:cs="TH Niramit AS"/>
          <w:sz w:val="28"/>
          <w:szCs w:val="28"/>
        </w:rPr>
        <w:t xml:space="preserve">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อัธยายะที่ ๑๘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โศลกที่ ๕๑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๕๒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6F1E0F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๕๓ ตามลำดับ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06110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b w:val="0"/>
        <w:bCs w:val="0"/>
        <w:noProof/>
        <w:szCs w:val="32"/>
      </w:rPr>
    </w:sdtEndPr>
    <w:sdtContent>
      <w:p w:rsidR="00464597" w:rsidRPr="00464597" w:rsidRDefault="00464597">
        <w:pPr>
          <w:pStyle w:val="Header"/>
          <w:jc w:val="right"/>
          <w:rPr>
            <w:rFonts w:ascii="TH SarabunPSK" w:hAnsi="TH SarabunPSK" w:cs="TH SarabunPSK"/>
            <w:b w:val="0"/>
            <w:bCs w:val="0"/>
            <w:szCs w:val="32"/>
          </w:rPr>
        </w:pPr>
        <w:r w:rsidRPr="00464597">
          <w:rPr>
            <w:rFonts w:ascii="TH SarabunPSK" w:hAnsi="TH SarabunPSK" w:cs="TH SarabunPSK"/>
            <w:b w:val="0"/>
            <w:bCs w:val="0"/>
            <w:szCs w:val="32"/>
          </w:rPr>
          <w:fldChar w:fldCharType="begin"/>
        </w:r>
        <w:r w:rsidRPr="00464597">
          <w:rPr>
            <w:rFonts w:ascii="TH SarabunPSK" w:hAnsi="TH SarabunPSK" w:cs="TH SarabunPSK"/>
            <w:b w:val="0"/>
            <w:bCs w:val="0"/>
            <w:szCs w:val="32"/>
          </w:rPr>
          <w:instrText xml:space="preserve"> PAGE   \* MERGEFORMAT </w:instrText>
        </w:r>
        <w:r w:rsidRPr="00464597">
          <w:rPr>
            <w:rFonts w:ascii="TH SarabunPSK" w:hAnsi="TH SarabunPSK" w:cs="TH SarabunPSK"/>
            <w:b w:val="0"/>
            <w:bCs w:val="0"/>
            <w:szCs w:val="32"/>
          </w:rPr>
          <w:fldChar w:fldCharType="separate"/>
        </w:r>
        <w:r w:rsidR="00046CA1">
          <w:rPr>
            <w:rFonts w:ascii="TH SarabunPSK" w:hAnsi="TH SarabunPSK" w:cs="TH SarabunPSK"/>
            <w:b w:val="0"/>
            <w:bCs w:val="0"/>
            <w:noProof/>
            <w:szCs w:val="32"/>
            <w:cs/>
          </w:rPr>
          <w:t>๘๒</w:t>
        </w:r>
        <w:r w:rsidRPr="00464597">
          <w:rPr>
            <w:rFonts w:ascii="TH SarabunPSK" w:hAnsi="TH SarabunPSK" w:cs="TH SarabunPSK"/>
            <w:b w:val="0"/>
            <w:bCs w:val="0"/>
            <w:noProof/>
            <w:szCs w:val="32"/>
          </w:rPr>
          <w:fldChar w:fldCharType="end"/>
        </w:r>
      </w:p>
    </w:sdtContent>
  </w:sdt>
  <w:p w:rsidR="00464597" w:rsidRDefault="004645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7367C"/>
    <w:multiLevelType w:val="hybridMultilevel"/>
    <w:tmpl w:val="022479FE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">
    <w:nsid w:val="015A0BC5"/>
    <w:multiLevelType w:val="hybridMultilevel"/>
    <w:tmpl w:val="6C4E58B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267D4"/>
    <w:multiLevelType w:val="hybridMultilevel"/>
    <w:tmpl w:val="48AA2F8E"/>
    <w:lvl w:ilvl="0" w:tplc="E3FA7ABE">
      <w:start w:val="1"/>
      <w:numFmt w:val="thaiNumbers"/>
      <w:lvlText w:val="%1."/>
      <w:lvlJc w:val="left"/>
      <w:pPr>
        <w:ind w:left="2130" w:hanging="1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F64C58"/>
    <w:multiLevelType w:val="hybridMultilevel"/>
    <w:tmpl w:val="20A0220A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A57198"/>
    <w:multiLevelType w:val="hybridMultilevel"/>
    <w:tmpl w:val="50AC2B26"/>
    <w:lvl w:ilvl="0" w:tplc="B6242DB2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5">
    <w:nsid w:val="09C870B6"/>
    <w:multiLevelType w:val="hybridMultilevel"/>
    <w:tmpl w:val="05E437A4"/>
    <w:lvl w:ilvl="0" w:tplc="51500278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6">
    <w:nsid w:val="0C3868DB"/>
    <w:multiLevelType w:val="hybridMultilevel"/>
    <w:tmpl w:val="2326F08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51D4D"/>
    <w:multiLevelType w:val="hybridMultilevel"/>
    <w:tmpl w:val="AE24462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4A79D1"/>
    <w:multiLevelType w:val="hybridMultilevel"/>
    <w:tmpl w:val="14EC279A"/>
    <w:lvl w:ilvl="0" w:tplc="218EAB9C">
      <w:start w:val="1"/>
      <w:numFmt w:val="thaiLett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18F47736"/>
    <w:multiLevelType w:val="hybridMultilevel"/>
    <w:tmpl w:val="1C3EC28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77BD9"/>
    <w:multiLevelType w:val="hybridMultilevel"/>
    <w:tmpl w:val="756ABEDC"/>
    <w:lvl w:ilvl="0" w:tplc="3F6442C8">
      <w:start w:val="1"/>
      <w:numFmt w:val="thaiNumb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>
    <w:nsid w:val="1C841DE3"/>
    <w:multiLevelType w:val="hybridMultilevel"/>
    <w:tmpl w:val="E258F0A0"/>
    <w:lvl w:ilvl="0" w:tplc="088C466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E0D1A64"/>
    <w:multiLevelType w:val="hybridMultilevel"/>
    <w:tmpl w:val="3CACF70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2E35F4"/>
    <w:multiLevelType w:val="hybridMultilevel"/>
    <w:tmpl w:val="2AB83D1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6C3A32"/>
    <w:multiLevelType w:val="hybridMultilevel"/>
    <w:tmpl w:val="B6CA0016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5">
    <w:nsid w:val="24894E98"/>
    <w:multiLevelType w:val="hybridMultilevel"/>
    <w:tmpl w:val="1F348AA6"/>
    <w:lvl w:ilvl="0" w:tplc="39444DF8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74F2E8C2">
      <w:start w:val="1"/>
      <w:numFmt w:val="thaiNumbers"/>
      <w:lvlText w:val="%2)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>
    <w:nsid w:val="25D63C9F"/>
    <w:multiLevelType w:val="hybridMultilevel"/>
    <w:tmpl w:val="A0AED9A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BD5E42"/>
    <w:multiLevelType w:val="hybridMultilevel"/>
    <w:tmpl w:val="8D44E4B6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8">
    <w:nsid w:val="292A6887"/>
    <w:multiLevelType w:val="hybridMultilevel"/>
    <w:tmpl w:val="B178FD9E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E3210F"/>
    <w:multiLevelType w:val="hybridMultilevel"/>
    <w:tmpl w:val="1506E530"/>
    <w:lvl w:ilvl="0" w:tplc="2BD2978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1F363FA"/>
    <w:multiLevelType w:val="hybridMultilevel"/>
    <w:tmpl w:val="81E48DF4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0336F4"/>
    <w:multiLevelType w:val="hybridMultilevel"/>
    <w:tmpl w:val="DB2CA2B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4970F3"/>
    <w:multiLevelType w:val="hybridMultilevel"/>
    <w:tmpl w:val="CFAC9116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23">
    <w:nsid w:val="35832C32"/>
    <w:multiLevelType w:val="hybridMultilevel"/>
    <w:tmpl w:val="56CA15C0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CF480B"/>
    <w:multiLevelType w:val="hybridMultilevel"/>
    <w:tmpl w:val="36188A30"/>
    <w:lvl w:ilvl="0" w:tplc="54269EEC">
      <w:start w:val="3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ACD7C1B"/>
    <w:multiLevelType w:val="hybridMultilevel"/>
    <w:tmpl w:val="F03488B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325435"/>
    <w:multiLevelType w:val="hybridMultilevel"/>
    <w:tmpl w:val="823831D6"/>
    <w:lvl w:ilvl="0" w:tplc="D9B205E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7B47BFD"/>
    <w:multiLevelType w:val="hybridMultilevel"/>
    <w:tmpl w:val="F272ACA2"/>
    <w:lvl w:ilvl="0" w:tplc="3E64E7F2">
      <w:start w:val="1"/>
      <w:numFmt w:val="thaiNumb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8">
    <w:nsid w:val="4EBD5CE5"/>
    <w:multiLevelType w:val="hybridMultilevel"/>
    <w:tmpl w:val="27764540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29">
    <w:nsid w:val="4FBF18BF"/>
    <w:multiLevelType w:val="hybridMultilevel"/>
    <w:tmpl w:val="5658F05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424476"/>
    <w:multiLevelType w:val="hybridMultilevel"/>
    <w:tmpl w:val="5DC0264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0365B2"/>
    <w:multiLevelType w:val="hybridMultilevel"/>
    <w:tmpl w:val="3C5A963E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32">
    <w:nsid w:val="54FB7068"/>
    <w:multiLevelType w:val="hybridMultilevel"/>
    <w:tmpl w:val="15CA6F1A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33">
    <w:nsid w:val="56763101"/>
    <w:multiLevelType w:val="hybridMultilevel"/>
    <w:tmpl w:val="CDD4ECA8"/>
    <w:lvl w:ilvl="0" w:tplc="C606544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78B333D"/>
    <w:multiLevelType w:val="hybridMultilevel"/>
    <w:tmpl w:val="B37C2B96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0B62F6"/>
    <w:multiLevelType w:val="hybridMultilevel"/>
    <w:tmpl w:val="59EC0A60"/>
    <w:lvl w:ilvl="0" w:tplc="92B6E066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6">
    <w:nsid w:val="5965481B"/>
    <w:multiLevelType w:val="hybridMultilevel"/>
    <w:tmpl w:val="8A9E4D02"/>
    <w:lvl w:ilvl="0" w:tplc="9424A0DC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59EC6AF8"/>
    <w:multiLevelType w:val="hybridMultilevel"/>
    <w:tmpl w:val="FE025D8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5759B8"/>
    <w:multiLevelType w:val="hybridMultilevel"/>
    <w:tmpl w:val="59E631EC"/>
    <w:lvl w:ilvl="0" w:tplc="CB307F76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9">
    <w:nsid w:val="5FBA271E"/>
    <w:multiLevelType w:val="hybridMultilevel"/>
    <w:tmpl w:val="CEE80EB2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40">
    <w:nsid w:val="675F79CA"/>
    <w:multiLevelType w:val="hybridMultilevel"/>
    <w:tmpl w:val="04662768"/>
    <w:lvl w:ilvl="0" w:tplc="20025D8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08B4CC2"/>
    <w:multiLevelType w:val="hybridMultilevel"/>
    <w:tmpl w:val="F00A63F8"/>
    <w:lvl w:ilvl="0" w:tplc="867CE5D8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ascii="TH Niramit AS" w:hAnsi="TH Niramit AS" w:cs="TH Niramit AS" w:hint="default"/>
        <w:sz w:val="36"/>
        <w:szCs w:val="36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2">
    <w:nsid w:val="7116292F"/>
    <w:multiLevelType w:val="hybridMultilevel"/>
    <w:tmpl w:val="EA066DEE"/>
    <w:lvl w:ilvl="0" w:tplc="B6242DB2">
      <w:start w:val="1"/>
      <w:numFmt w:val="thaiNumbers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3">
    <w:nsid w:val="71866F8F"/>
    <w:multiLevelType w:val="hybridMultilevel"/>
    <w:tmpl w:val="4066E6F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DF4912"/>
    <w:multiLevelType w:val="hybridMultilevel"/>
    <w:tmpl w:val="F7C0184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C53499"/>
    <w:multiLevelType w:val="hybridMultilevel"/>
    <w:tmpl w:val="390AAA9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0"/>
  </w:num>
  <w:num w:numId="3">
    <w:abstractNumId w:val="33"/>
  </w:num>
  <w:num w:numId="4">
    <w:abstractNumId w:val="24"/>
  </w:num>
  <w:num w:numId="5">
    <w:abstractNumId w:val="41"/>
  </w:num>
  <w:num w:numId="6">
    <w:abstractNumId w:val="36"/>
  </w:num>
  <w:num w:numId="7">
    <w:abstractNumId w:val="19"/>
  </w:num>
  <w:num w:numId="8">
    <w:abstractNumId w:val="11"/>
  </w:num>
  <w:num w:numId="9">
    <w:abstractNumId w:val="4"/>
  </w:num>
  <w:num w:numId="10">
    <w:abstractNumId w:val="35"/>
  </w:num>
  <w:num w:numId="11">
    <w:abstractNumId w:val="15"/>
  </w:num>
  <w:num w:numId="12">
    <w:abstractNumId w:val="38"/>
  </w:num>
  <w:num w:numId="13">
    <w:abstractNumId w:val="5"/>
  </w:num>
  <w:num w:numId="14">
    <w:abstractNumId w:val="22"/>
  </w:num>
  <w:num w:numId="15">
    <w:abstractNumId w:val="31"/>
  </w:num>
  <w:num w:numId="16">
    <w:abstractNumId w:val="14"/>
  </w:num>
  <w:num w:numId="17">
    <w:abstractNumId w:val="17"/>
  </w:num>
  <w:num w:numId="18">
    <w:abstractNumId w:val="39"/>
  </w:num>
  <w:num w:numId="19">
    <w:abstractNumId w:val="0"/>
  </w:num>
  <w:num w:numId="20">
    <w:abstractNumId w:val="32"/>
  </w:num>
  <w:num w:numId="21">
    <w:abstractNumId w:val="28"/>
  </w:num>
  <w:num w:numId="22">
    <w:abstractNumId w:val="42"/>
  </w:num>
  <w:num w:numId="23">
    <w:abstractNumId w:val="13"/>
  </w:num>
  <w:num w:numId="24">
    <w:abstractNumId w:val="29"/>
  </w:num>
  <w:num w:numId="25">
    <w:abstractNumId w:val="12"/>
  </w:num>
  <w:num w:numId="26">
    <w:abstractNumId w:val="30"/>
  </w:num>
  <w:num w:numId="27">
    <w:abstractNumId w:val="1"/>
  </w:num>
  <w:num w:numId="28">
    <w:abstractNumId w:val="18"/>
  </w:num>
  <w:num w:numId="29">
    <w:abstractNumId w:val="16"/>
  </w:num>
  <w:num w:numId="30">
    <w:abstractNumId w:val="21"/>
  </w:num>
  <w:num w:numId="31">
    <w:abstractNumId w:val="34"/>
  </w:num>
  <w:num w:numId="32">
    <w:abstractNumId w:val="25"/>
  </w:num>
  <w:num w:numId="33">
    <w:abstractNumId w:val="3"/>
  </w:num>
  <w:num w:numId="34">
    <w:abstractNumId w:val="6"/>
  </w:num>
  <w:num w:numId="35">
    <w:abstractNumId w:val="9"/>
  </w:num>
  <w:num w:numId="36">
    <w:abstractNumId w:val="7"/>
  </w:num>
  <w:num w:numId="37">
    <w:abstractNumId w:val="23"/>
  </w:num>
  <w:num w:numId="38">
    <w:abstractNumId w:val="20"/>
  </w:num>
  <w:num w:numId="39">
    <w:abstractNumId w:val="44"/>
  </w:num>
  <w:num w:numId="40">
    <w:abstractNumId w:val="37"/>
  </w:num>
  <w:num w:numId="41">
    <w:abstractNumId w:val="45"/>
  </w:num>
  <w:num w:numId="42">
    <w:abstractNumId w:val="43"/>
  </w:num>
  <w:num w:numId="43">
    <w:abstractNumId w:val="8"/>
  </w:num>
  <w:num w:numId="44">
    <w:abstractNumId w:val="10"/>
  </w:num>
  <w:num w:numId="45">
    <w:abstractNumId w:val="26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232"/>
    <w:rsid w:val="000003A8"/>
    <w:rsid w:val="000035AE"/>
    <w:rsid w:val="0000638D"/>
    <w:rsid w:val="000141D7"/>
    <w:rsid w:val="00017613"/>
    <w:rsid w:val="00024000"/>
    <w:rsid w:val="0002472C"/>
    <w:rsid w:val="00024AC1"/>
    <w:rsid w:val="0003076F"/>
    <w:rsid w:val="000307FA"/>
    <w:rsid w:val="00036511"/>
    <w:rsid w:val="000422FD"/>
    <w:rsid w:val="00046CA1"/>
    <w:rsid w:val="000577D7"/>
    <w:rsid w:val="000653DC"/>
    <w:rsid w:val="00071475"/>
    <w:rsid w:val="00083F3C"/>
    <w:rsid w:val="00084FDA"/>
    <w:rsid w:val="00094FDF"/>
    <w:rsid w:val="000A2395"/>
    <w:rsid w:val="000C3241"/>
    <w:rsid w:val="000D20F1"/>
    <w:rsid w:val="000D4E01"/>
    <w:rsid w:val="000D6974"/>
    <w:rsid w:val="0010228E"/>
    <w:rsid w:val="00103464"/>
    <w:rsid w:val="00117999"/>
    <w:rsid w:val="00120775"/>
    <w:rsid w:val="00121A56"/>
    <w:rsid w:val="001238AC"/>
    <w:rsid w:val="00137CC0"/>
    <w:rsid w:val="00146CD0"/>
    <w:rsid w:val="00175602"/>
    <w:rsid w:val="00175FAD"/>
    <w:rsid w:val="00185656"/>
    <w:rsid w:val="001874EB"/>
    <w:rsid w:val="00195E6C"/>
    <w:rsid w:val="00195F52"/>
    <w:rsid w:val="00197C54"/>
    <w:rsid w:val="001A0C5F"/>
    <w:rsid w:val="001A6691"/>
    <w:rsid w:val="001A79F7"/>
    <w:rsid w:val="001B0F03"/>
    <w:rsid w:val="001B4472"/>
    <w:rsid w:val="001C66A4"/>
    <w:rsid w:val="001D14F0"/>
    <w:rsid w:val="001D4C4D"/>
    <w:rsid w:val="001E23E2"/>
    <w:rsid w:val="001E78FF"/>
    <w:rsid w:val="001F0EA6"/>
    <w:rsid w:val="001F3957"/>
    <w:rsid w:val="001F6A27"/>
    <w:rsid w:val="00202BAE"/>
    <w:rsid w:val="00212AF5"/>
    <w:rsid w:val="0021694E"/>
    <w:rsid w:val="00236CC3"/>
    <w:rsid w:val="00237829"/>
    <w:rsid w:val="002571E2"/>
    <w:rsid w:val="00257FC1"/>
    <w:rsid w:val="00266654"/>
    <w:rsid w:val="00280A3D"/>
    <w:rsid w:val="00281144"/>
    <w:rsid w:val="00281317"/>
    <w:rsid w:val="002875A1"/>
    <w:rsid w:val="0029004D"/>
    <w:rsid w:val="0029244B"/>
    <w:rsid w:val="002952D8"/>
    <w:rsid w:val="002A26FB"/>
    <w:rsid w:val="002B3038"/>
    <w:rsid w:val="002B7019"/>
    <w:rsid w:val="002B7A82"/>
    <w:rsid w:val="002C1791"/>
    <w:rsid w:val="002C2A53"/>
    <w:rsid w:val="002C51C5"/>
    <w:rsid w:val="002D4E9B"/>
    <w:rsid w:val="002D794C"/>
    <w:rsid w:val="002F1E76"/>
    <w:rsid w:val="002F606E"/>
    <w:rsid w:val="002F7135"/>
    <w:rsid w:val="00300569"/>
    <w:rsid w:val="003116C7"/>
    <w:rsid w:val="00321EBD"/>
    <w:rsid w:val="00327314"/>
    <w:rsid w:val="003352E6"/>
    <w:rsid w:val="00337787"/>
    <w:rsid w:val="00346D55"/>
    <w:rsid w:val="003501CA"/>
    <w:rsid w:val="0036048A"/>
    <w:rsid w:val="0036216D"/>
    <w:rsid w:val="00362A35"/>
    <w:rsid w:val="00387B74"/>
    <w:rsid w:val="00391513"/>
    <w:rsid w:val="00393F16"/>
    <w:rsid w:val="00394B58"/>
    <w:rsid w:val="0039652F"/>
    <w:rsid w:val="003971D2"/>
    <w:rsid w:val="003B0389"/>
    <w:rsid w:val="003B15B9"/>
    <w:rsid w:val="003B30EB"/>
    <w:rsid w:val="003D36DB"/>
    <w:rsid w:val="003F5CA4"/>
    <w:rsid w:val="003F71CB"/>
    <w:rsid w:val="00414C77"/>
    <w:rsid w:val="00417B51"/>
    <w:rsid w:val="00424238"/>
    <w:rsid w:val="004271D4"/>
    <w:rsid w:val="0043460D"/>
    <w:rsid w:val="00450D88"/>
    <w:rsid w:val="00451713"/>
    <w:rsid w:val="0045380D"/>
    <w:rsid w:val="00455064"/>
    <w:rsid w:val="00464597"/>
    <w:rsid w:val="00464E6C"/>
    <w:rsid w:val="004721B8"/>
    <w:rsid w:val="00473772"/>
    <w:rsid w:val="0047478B"/>
    <w:rsid w:val="00476053"/>
    <w:rsid w:val="004761AB"/>
    <w:rsid w:val="00477AD5"/>
    <w:rsid w:val="0048045C"/>
    <w:rsid w:val="00490413"/>
    <w:rsid w:val="004907BC"/>
    <w:rsid w:val="004918F0"/>
    <w:rsid w:val="00496FA9"/>
    <w:rsid w:val="004A5887"/>
    <w:rsid w:val="004B2ACC"/>
    <w:rsid w:val="004C7F4F"/>
    <w:rsid w:val="004D52E9"/>
    <w:rsid w:val="004E16D3"/>
    <w:rsid w:val="004E21A8"/>
    <w:rsid w:val="004F518D"/>
    <w:rsid w:val="00522DB4"/>
    <w:rsid w:val="0052529F"/>
    <w:rsid w:val="00541007"/>
    <w:rsid w:val="005523AC"/>
    <w:rsid w:val="00554F82"/>
    <w:rsid w:val="005602B4"/>
    <w:rsid w:val="005624B0"/>
    <w:rsid w:val="00573A46"/>
    <w:rsid w:val="00574011"/>
    <w:rsid w:val="00575876"/>
    <w:rsid w:val="00581123"/>
    <w:rsid w:val="0058173A"/>
    <w:rsid w:val="00582C8D"/>
    <w:rsid w:val="00591B72"/>
    <w:rsid w:val="005A0D04"/>
    <w:rsid w:val="005B3854"/>
    <w:rsid w:val="005C206B"/>
    <w:rsid w:val="005C5EE9"/>
    <w:rsid w:val="005E1270"/>
    <w:rsid w:val="005F786F"/>
    <w:rsid w:val="00601CDB"/>
    <w:rsid w:val="006029B4"/>
    <w:rsid w:val="00604F5B"/>
    <w:rsid w:val="00620825"/>
    <w:rsid w:val="00624C27"/>
    <w:rsid w:val="00630728"/>
    <w:rsid w:val="0063428F"/>
    <w:rsid w:val="00645EDC"/>
    <w:rsid w:val="0066450F"/>
    <w:rsid w:val="00665119"/>
    <w:rsid w:val="00672AB7"/>
    <w:rsid w:val="00675411"/>
    <w:rsid w:val="006805A8"/>
    <w:rsid w:val="00680C57"/>
    <w:rsid w:val="00693C17"/>
    <w:rsid w:val="00697DC6"/>
    <w:rsid w:val="006A2B07"/>
    <w:rsid w:val="006B0322"/>
    <w:rsid w:val="006B0C7F"/>
    <w:rsid w:val="006B1769"/>
    <w:rsid w:val="006B17A5"/>
    <w:rsid w:val="006B5212"/>
    <w:rsid w:val="006B5A7C"/>
    <w:rsid w:val="006B7B46"/>
    <w:rsid w:val="006D269E"/>
    <w:rsid w:val="006E5BC3"/>
    <w:rsid w:val="006E7BBA"/>
    <w:rsid w:val="006F1E0F"/>
    <w:rsid w:val="006F551D"/>
    <w:rsid w:val="00700428"/>
    <w:rsid w:val="00700C0E"/>
    <w:rsid w:val="00700E77"/>
    <w:rsid w:val="0070385C"/>
    <w:rsid w:val="00703FE8"/>
    <w:rsid w:val="00711519"/>
    <w:rsid w:val="00713B5E"/>
    <w:rsid w:val="00713BE4"/>
    <w:rsid w:val="0071565F"/>
    <w:rsid w:val="00726078"/>
    <w:rsid w:val="00727715"/>
    <w:rsid w:val="00741807"/>
    <w:rsid w:val="00750C0C"/>
    <w:rsid w:val="0076471B"/>
    <w:rsid w:val="00772E5C"/>
    <w:rsid w:val="007731BD"/>
    <w:rsid w:val="00785570"/>
    <w:rsid w:val="00787231"/>
    <w:rsid w:val="00793779"/>
    <w:rsid w:val="0079509C"/>
    <w:rsid w:val="007A5926"/>
    <w:rsid w:val="007B3782"/>
    <w:rsid w:val="007B4768"/>
    <w:rsid w:val="007C6193"/>
    <w:rsid w:val="007C6E9D"/>
    <w:rsid w:val="007D15B5"/>
    <w:rsid w:val="007D2C8C"/>
    <w:rsid w:val="007E2602"/>
    <w:rsid w:val="007E2924"/>
    <w:rsid w:val="007E6147"/>
    <w:rsid w:val="00804A42"/>
    <w:rsid w:val="00823261"/>
    <w:rsid w:val="008274BC"/>
    <w:rsid w:val="00834DD5"/>
    <w:rsid w:val="0084150C"/>
    <w:rsid w:val="00852162"/>
    <w:rsid w:val="00852A87"/>
    <w:rsid w:val="00855261"/>
    <w:rsid w:val="00856416"/>
    <w:rsid w:val="008567C4"/>
    <w:rsid w:val="00857E3F"/>
    <w:rsid w:val="008627CD"/>
    <w:rsid w:val="0086410A"/>
    <w:rsid w:val="00867C56"/>
    <w:rsid w:val="00871A51"/>
    <w:rsid w:val="008766D1"/>
    <w:rsid w:val="0088152D"/>
    <w:rsid w:val="00886F9E"/>
    <w:rsid w:val="00891B61"/>
    <w:rsid w:val="008A7C37"/>
    <w:rsid w:val="008D5DB5"/>
    <w:rsid w:val="008E2695"/>
    <w:rsid w:val="008E5A72"/>
    <w:rsid w:val="008F1CC0"/>
    <w:rsid w:val="00912A18"/>
    <w:rsid w:val="00916787"/>
    <w:rsid w:val="00927208"/>
    <w:rsid w:val="009276C9"/>
    <w:rsid w:val="00930353"/>
    <w:rsid w:val="00932D9D"/>
    <w:rsid w:val="0093671E"/>
    <w:rsid w:val="009407D7"/>
    <w:rsid w:val="0094175D"/>
    <w:rsid w:val="00942C20"/>
    <w:rsid w:val="00954FC9"/>
    <w:rsid w:val="00960657"/>
    <w:rsid w:val="00961FE9"/>
    <w:rsid w:val="0096603F"/>
    <w:rsid w:val="009700B2"/>
    <w:rsid w:val="009712A2"/>
    <w:rsid w:val="00972AE1"/>
    <w:rsid w:val="00974636"/>
    <w:rsid w:val="0098236A"/>
    <w:rsid w:val="00985DC6"/>
    <w:rsid w:val="009912EB"/>
    <w:rsid w:val="00992CB0"/>
    <w:rsid w:val="009B12FD"/>
    <w:rsid w:val="009C3259"/>
    <w:rsid w:val="009C35A9"/>
    <w:rsid w:val="009D757C"/>
    <w:rsid w:val="009F42B0"/>
    <w:rsid w:val="009F50BA"/>
    <w:rsid w:val="00A27232"/>
    <w:rsid w:val="00A311E7"/>
    <w:rsid w:val="00A31FD9"/>
    <w:rsid w:val="00A46B2B"/>
    <w:rsid w:val="00A51ADC"/>
    <w:rsid w:val="00A73ACE"/>
    <w:rsid w:val="00A7495E"/>
    <w:rsid w:val="00A75D0D"/>
    <w:rsid w:val="00A85B62"/>
    <w:rsid w:val="00A86AE1"/>
    <w:rsid w:val="00A8708E"/>
    <w:rsid w:val="00AA0B6C"/>
    <w:rsid w:val="00AA1C47"/>
    <w:rsid w:val="00AB086A"/>
    <w:rsid w:val="00AB154F"/>
    <w:rsid w:val="00AC3F0B"/>
    <w:rsid w:val="00AD37A9"/>
    <w:rsid w:val="00AD6052"/>
    <w:rsid w:val="00B1631B"/>
    <w:rsid w:val="00B171F1"/>
    <w:rsid w:val="00B22B95"/>
    <w:rsid w:val="00B244F7"/>
    <w:rsid w:val="00B25236"/>
    <w:rsid w:val="00B3392F"/>
    <w:rsid w:val="00B554F5"/>
    <w:rsid w:val="00B7363E"/>
    <w:rsid w:val="00B95D57"/>
    <w:rsid w:val="00BA6963"/>
    <w:rsid w:val="00BA6E04"/>
    <w:rsid w:val="00BB09A7"/>
    <w:rsid w:val="00BB699B"/>
    <w:rsid w:val="00BB6DB0"/>
    <w:rsid w:val="00BC6E50"/>
    <w:rsid w:val="00BE3A07"/>
    <w:rsid w:val="00BE60C8"/>
    <w:rsid w:val="00BF4FBF"/>
    <w:rsid w:val="00BF54C0"/>
    <w:rsid w:val="00C06813"/>
    <w:rsid w:val="00C15AF4"/>
    <w:rsid w:val="00C16CD5"/>
    <w:rsid w:val="00C27D7C"/>
    <w:rsid w:val="00C30AB4"/>
    <w:rsid w:val="00C40021"/>
    <w:rsid w:val="00C40B44"/>
    <w:rsid w:val="00C52DAC"/>
    <w:rsid w:val="00C54ACF"/>
    <w:rsid w:val="00C65D32"/>
    <w:rsid w:val="00C65E35"/>
    <w:rsid w:val="00C74B6C"/>
    <w:rsid w:val="00C7610A"/>
    <w:rsid w:val="00C8613A"/>
    <w:rsid w:val="00C86AF0"/>
    <w:rsid w:val="00C95B9D"/>
    <w:rsid w:val="00CB2F91"/>
    <w:rsid w:val="00CB4C11"/>
    <w:rsid w:val="00CC30F7"/>
    <w:rsid w:val="00CD3678"/>
    <w:rsid w:val="00CF107C"/>
    <w:rsid w:val="00CF11BE"/>
    <w:rsid w:val="00CF2283"/>
    <w:rsid w:val="00CF6939"/>
    <w:rsid w:val="00D129CB"/>
    <w:rsid w:val="00D21494"/>
    <w:rsid w:val="00D328B8"/>
    <w:rsid w:val="00D33FFF"/>
    <w:rsid w:val="00D34D00"/>
    <w:rsid w:val="00D41BA7"/>
    <w:rsid w:val="00D42EAD"/>
    <w:rsid w:val="00D50547"/>
    <w:rsid w:val="00D67E4D"/>
    <w:rsid w:val="00D7757C"/>
    <w:rsid w:val="00D81DB3"/>
    <w:rsid w:val="00D829FA"/>
    <w:rsid w:val="00D83F0E"/>
    <w:rsid w:val="00D85750"/>
    <w:rsid w:val="00D97A6B"/>
    <w:rsid w:val="00DA440C"/>
    <w:rsid w:val="00DB0A3F"/>
    <w:rsid w:val="00DB725B"/>
    <w:rsid w:val="00DC3786"/>
    <w:rsid w:val="00DC6713"/>
    <w:rsid w:val="00DD4896"/>
    <w:rsid w:val="00DE4430"/>
    <w:rsid w:val="00DE5CC4"/>
    <w:rsid w:val="00E02755"/>
    <w:rsid w:val="00E1027F"/>
    <w:rsid w:val="00E10FD1"/>
    <w:rsid w:val="00E159D5"/>
    <w:rsid w:val="00E17A66"/>
    <w:rsid w:val="00E23654"/>
    <w:rsid w:val="00E31D4C"/>
    <w:rsid w:val="00E3346E"/>
    <w:rsid w:val="00E3689C"/>
    <w:rsid w:val="00E47C1D"/>
    <w:rsid w:val="00E51778"/>
    <w:rsid w:val="00E54039"/>
    <w:rsid w:val="00E565BC"/>
    <w:rsid w:val="00E568D9"/>
    <w:rsid w:val="00E7089B"/>
    <w:rsid w:val="00E813D7"/>
    <w:rsid w:val="00E820B9"/>
    <w:rsid w:val="00E8625F"/>
    <w:rsid w:val="00EA7C32"/>
    <w:rsid w:val="00EC1349"/>
    <w:rsid w:val="00EC2488"/>
    <w:rsid w:val="00ED09E1"/>
    <w:rsid w:val="00ED1157"/>
    <w:rsid w:val="00ED717D"/>
    <w:rsid w:val="00ED76B5"/>
    <w:rsid w:val="00EE57C3"/>
    <w:rsid w:val="00EF1882"/>
    <w:rsid w:val="00EF2ED6"/>
    <w:rsid w:val="00F11519"/>
    <w:rsid w:val="00F209B1"/>
    <w:rsid w:val="00F24162"/>
    <w:rsid w:val="00F410E3"/>
    <w:rsid w:val="00F43689"/>
    <w:rsid w:val="00F43912"/>
    <w:rsid w:val="00F52B0C"/>
    <w:rsid w:val="00F54E9B"/>
    <w:rsid w:val="00F61756"/>
    <w:rsid w:val="00F713CB"/>
    <w:rsid w:val="00F738E4"/>
    <w:rsid w:val="00F80827"/>
    <w:rsid w:val="00F81071"/>
    <w:rsid w:val="00F86943"/>
    <w:rsid w:val="00F900BE"/>
    <w:rsid w:val="00F945D8"/>
    <w:rsid w:val="00FA3A66"/>
    <w:rsid w:val="00FA5671"/>
    <w:rsid w:val="00FB6ADD"/>
    <w:rsid w:val="00FC2E5E"/>
    <w:rsid w:val="00FC3255"/>
    <w:rsid w:val="00FD01F1"/>
    <w:rsid w:val="00FE17A9"/>
    <w:rsid w:val="00FF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551510-0F09-45C2-AB2C-C36984FDA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EDC"/>
  </w:style>
  <w:style w:type="paragraph" w:styleId="Heading4">
    <w:name w:val="heading 4"/>
    <w:basedOn w:val="Normal"/>
    <w:link w:val="Heading4Char"/>
    <w:uiPriority w:val="9"/>
    <w:qFormat/>
    <w:rsid w:val="008F1CC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D97A6B"/>
    <w:pPr>
      <w:keepNext/>
      <w:spacing w:after="0" w:line="240" w:lineRule="auto"/>
      <w:outlineLvl w:val="5"/>
    </w:pPr>
    <w:rPr>
      <w:rFonts w:ascii="AngsanaUPC" w:eastAsia="Cordia New" w:hAnsi="AngsanaUPC" w:cs="AngsanaUPC"/>
      <w:b/>
      <w:bCs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447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30E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0EB"/>
    <w:rPr>
      <w:rFonts w:ascii="Tahoma" w:hAnsi="Tahoma" w:cs="Angsana New"/>
      <w:sz w:val="16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645EDC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45EDC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645EDC"/>
    <w:rPr>
      <w:vertAlign w:val="superscript"/>
    </w:rPr>
  </w:style>
  <w:style w:type="paragraph" w:styleId="ListParagraph">
    <w:name w:val="List Paragraph"/>
    <w:basedOn w:val="Normal"/>
    <w:uiPriority w:val="34"/>
    <w:qFormat/>
    <w:rsid w:val="00645ED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85570"/>
    <w:rPr>
      <w:rFonts w:cs="Times New Roman"/>
      <w:color w:val="0000FF"/>
      <w:u w:val="single"/>
    </w:rPr>
  </w:style>
  <w:style w:type="character" w:styleId="Emphasis">
    <w:name w:val="Emphasis"/>
    <w:basedOn w:val="DefaultParagraphFont"/>
    <w:qFormat/>
    <w:rsid w:val="007D15B5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qFormat/>
    <w:rsid w:val="0066450F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6450F"/>
    <w:rPr>
      <w:rFonts w:ascii="Cambria" w:eastAsia="Times New Roman" w:hAnsi="Cambria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8F1CC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">
    <w:name w:val="a"/>
    <w:basedOn w:val="Normal"/>
    <w:rsid w:val="00672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0">
    <w:name w:val="nospacing"/>
    <w:basedOn w:val="Normal"/>
    <w:rsid w:val="00B2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B2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244F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D97A6B"/>
    <w:rPr>
      <w:rFonts w:ascii="AngsanaUPC" w:eastAsia="Cordia New" w:hAnsi="AngsanaUPC" w:cs="AngsanaUPC"/>
      <w:b/>
      <w:bCs/>
      <w:sz w:val="40"/>
      <w:szCs w:val="40"/>
    </w:rPr>
  </w:style>
  <w:style w:type="table" w:styleId="TableGrid">
    <w:name w:val="Table Grid"/>
    <w:basedOn w:val="TableNormal"/>
    <w:rsid w:val="00D97A6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97A6B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Cordia New"/>
      <w:b/>
      <w:bCs/>
      <w:sz w:val="32"/>
      <w:szCs w:val="37"/>
    </w:rPr>
  </w:style>
  <w:style w:type="character" w:customStyle="1" w:styleId="HeaderChar">
    <w:name w:val="Header Char"/>
    <w:basedOn w:val="DefaultParagraphFont"/>
    <w:link w:val="Header"/>
    <w:uiPriority w:val="99"/>
    <w:rsid w:val="00D97A6B"/>
    <w:rPr>
      <w:rFonts w:ascii="Cordia New" w:eastAsia="Cordia New" w:hAnsi="Cordia New" w:cs="Cordia New"/>
      <w:b/>
      <w:bCs/>
      <w:sz w:val="32"/>
      <w:szCs w:val="37"/>
    </w:rPr>
  </w:style>
  <w:style w:type="character" w:styleId="PageNumber">
    <w:name w:val="page number"/>
    <w:basedOn w:val="DefaultParagraphFont"/>
    <w:rsid w:val="00D97A6B"/>
  </w:style>
  <w:style w:type="paragraph" w:styleId="Title">
    <w:name w:val="Title"/>
    <w:basedOn w:val="Normal"/>
    <w:link w:val="TitleChar"/>
    <w:qFormat/>
    <w:rsid w:val="00ED76B5"/>
    <w:pPr>
      <w:spacing w:after="0" w:line="240" w:lineRule="auto"/>
      <w:jc w:val="center"/>
    </w:pPr>
    <w:rPr>
      <w:rFonts w:ascii="Times New Roman" w:eastAsia="Times New Roman" w:hAnsi="Times New Roman" w:cs="Cordia New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ED76B5"/>
    <w:rPr>
      <w:rFonts w:ascii="Times New Roman" w:eastAsia="Times New Roman" w:hAnsi="Times New Roman" w:cs="Cordia New"/>
      <w:sz w:val="36"/>
      <w:szCs w:val="36"/>
    </w:rPr>
  </w:style>
  <w:style w:type="paragraph" w:styleId="Footer">
    <w:name w:val="footer"/>
    <w:basedOn w:val="Normal"/>
    <w:link w:val="FooterChar"/>
    <w:uiPriority w:val="99"/>
    <w:unhideWhenUsed/>
    <w:rsid w:val="004645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45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359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7583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5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62861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75720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33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42152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54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161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596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211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6094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25417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4450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617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22854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874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947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31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7331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0715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5371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7535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07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2426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364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235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8901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0745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6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03014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2096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67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48319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19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406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5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3822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91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3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6958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4623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478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93294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05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370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068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7348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0108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4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31405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83525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30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4126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212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5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263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095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587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9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12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96214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98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18630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13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273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167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6880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3986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903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1310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866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71759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36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251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473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16710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96397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8652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7737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7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13116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85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732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72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45781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8825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13626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7039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165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5625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023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29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7257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04012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149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1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26931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77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2197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79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959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818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98230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676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0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4256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66334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81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84203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951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961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3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9719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5556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5315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51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5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74357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42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80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64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63457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2806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32023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031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51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92603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12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173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190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9030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8857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5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544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0087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38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12394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3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16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827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33036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1822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4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297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455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89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06311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865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043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3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50040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5405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85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81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1837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58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76251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41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889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874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23954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4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3135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4893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40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79820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756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03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429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18315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89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4880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914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79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82815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04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883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6280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5970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346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0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88056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1063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16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70062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472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809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88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0766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470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4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72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46423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09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0611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07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34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550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67090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842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3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33672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4485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02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22145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485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17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624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79893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20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0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398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1145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88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28567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831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565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4953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15337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6872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5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001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791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21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413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298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3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89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81118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110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9805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51071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400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0982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924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10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5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0083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18139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9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6733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23401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62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65053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99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3850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9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503725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936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7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21862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83270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88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82536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8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454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292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32186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112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34404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0989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942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57991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11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694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73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255114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216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6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4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14134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05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2087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440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84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7258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17588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9556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97260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451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3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63137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37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462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424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22240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42227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48975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78604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26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89904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908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585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938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07634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099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8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955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31163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216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63813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634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48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910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41079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9625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63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845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57518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18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147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84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62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781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18197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28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9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25520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1853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21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27433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31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38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823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738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0940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8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7661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4295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77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5697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04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428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040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21642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9265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9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6333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40415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49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4096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2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961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15713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94352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47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8363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36145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46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01374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623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5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384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59848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826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7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96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0485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96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39401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05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58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635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46299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8137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0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822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0486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1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71719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37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108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195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07486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17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15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5935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4693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11367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6663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38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810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346884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9535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473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33549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71468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904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763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523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43526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2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4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92989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0984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532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0828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4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791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0814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3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749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98862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409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7151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216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44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03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156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0704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0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8261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03683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09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2733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144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539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793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015989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966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3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70104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4548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1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7254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86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378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884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88231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80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93504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477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27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53127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94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32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4417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68448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74048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8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99261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52715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46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87052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80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60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282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28648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4864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9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54283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516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33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68368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740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386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2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75141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030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04500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3894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53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0396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93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521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1177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6202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7527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2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04932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311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478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9382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509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1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139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41810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0491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0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795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72994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18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00574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66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677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640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071081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9786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9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484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9374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854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20870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8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448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254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89053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3774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52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8217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4804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068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73729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20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986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124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14363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8531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241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64445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29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8703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330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69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15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64353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7540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04686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98556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42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35452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2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896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326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31449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529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19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07468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03632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1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34176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873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8588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56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63886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6079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48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392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882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4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5875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911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269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789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1360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2934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1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81970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4976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89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0694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12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140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846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81242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6247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397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832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959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2103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95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539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57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7504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564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2274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48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745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26476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55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989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075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89149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561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475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66977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74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45264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1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06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399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0771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8134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8274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173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7774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01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614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2725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9286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4621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05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655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0681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374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471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1419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2336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4304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1165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6796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9392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253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0151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7701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1438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897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38697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641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3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55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6246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32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71030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032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1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80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06176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3301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5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45855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273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529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1399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448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303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618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0713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83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1754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272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16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1055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11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75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18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B09E8-2FF8-4FAB-B243-41F203B20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3534</Words>
  <Characters>20150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15</cp:revision>
  <dcterms:created xsi:type="dcterms:W3CDTF">2013-01-03T11:27:00Z</dcterms:created>
  <dcterms:modified xsi:type="dcterms:W3CDTF">2015-06-22T15:24:00Z</dcterms:modified>
</cp:coreProperties>
</file>